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59"/>
      </w:tblGrid>
      <w:tr w:rsidR="00E20CFB" w:rsidRPr="00A23F93" w14:paraId="7BBEF555" w14:textId="77777777" w:rsidTr="00DA6343">
        <w:trPr>
          <w:trHeight w:val="950"/>
        </w:trPr>
        <w:tc>
          <w:tcPr>
            <w:tcW w:w="8559" w:type="dxa"/>
            <w:tcMar>
              <w:left w:w="0" w:type="dxa"/>
              <w:right w:w="0" w:type="dxa"/>
            </w:tcMar>
            <w:vAlign w:val="bottom"/>
          </w:tcPr>
          <w:p w14:paraId="2119F454" w14:textId="64B462FE" w:rsidR="00E20CFB" w:rsidRPr="00A23F93" w:rsidRDefault="004A6834" w:rsidP="002B4FFE">
            <w:pPr>
              <w:pStyle w:val="Documenttitle"/>
              <w:framePr w:hSpace="181" w:wrap="notBeside" w:x="-5" w:anchorLock="1"/>
              <w:rPr>
                <w:lang w:val="en-GB"/>
              </w:rPr>
            </w:pPr>
            <w:r w:rsidRPr="00A23F93">
              <w:rPr>
                <w:noProof/>
                <w:lang w:val="en-GB"/>
              </w:rPr>
              <mc:AlternateContent>
                <mc:Choice Requires="wps">
                  <w:drawing>
                    <wp:anchor distT="0" distB="0" distL="114300" distR="114300" simplePos="0" relativeHeight="251658241" behindDoc="0" locked="0" layoutInCell="1" allowOverlap="1" wp14:anchorId="5EE7104E" wp14:editId="616964E3">
                      <wp:simplePos x="0" y="0"/>
                      <wp:positionH relativeFrom="column">
                        <wp:posOffset>-1843</wp:posOffset>
                      </wp:positionH>
                      <wp:positionV relativeFrom="paragraph">
                        <wp:posOffset>45786</wp:posOffset>
                      </wp:positionV>
                      <wp:extent cx="0" cy="605860"/>
                      <wp:effectExtent l="0" t="0" r="38100" b="22860"/>
                      <wp:wrapNone/>
                      <wp:docPr id="842212949" name="Straight Connector 7"/>
                      <wp:cNvGraphicFramePr/>
                      <a:graphic xmlns:a="http://schemas.openxmlformats.org/drawingml/2006/main">
                        <a:graphicData uri="http://schemas.microsoft.com/office/word/2010/wordprocessingShape">
                          <wps:wsp>
                            <wps:cNvCnPr/>
                            <wps:spPr>
                              <a:xfrm>
                                <a:off x="0" y="0"/>
                                <a:ext cx="0" cy="605860"/>
                              </a:xfrm>
                              <a:prstGeom prst="line">
                                <a:avLst/>
                              </a:prstGeom>
                              <a:ln w="12700">
                                <a:solidFill>
                                  <a:schemeClr val="bg2"/>
                                </a:solidFill>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xmlns:w14="http://schemas.microsoft.com/office/word/2010/wordml" xmlns:o="urn:schemas-microsoft-com:office:office" xmlns:v="urn:schemas-microsoft-com:vml" id="Straight Connector 7"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a2b5 [32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" from="-.15pt,3.6pt" to="-.15pt,51.3pt" w14:anchorId="37753D44"/>
                  </w:pict>
                </mc:Fallback>
              </mc:AlternateContent>
            </w:r>
            <w:r w:rsidR="000652FB">
              <w:rPr>
                <w:lang w:val="en-GB"/>
              </w:rPr>
              <w:t>Schroder ISF* E</w:t>
            </w:r>
            <w:r w:rsidR="002B4FFE">
              <w:rPr>
                <w:lang w:val="en-GB"/>
              </w:rPr>
              <w:t xml:space="preserve">URO </w:t>
            </w:r>
            <w:r w:rsidR="000652FB">
              <w:rPr>
                <w:lang w:val="en-GB"/>
              </w:rPr>
              <w:t>High Yield</w:t>
            </w:r>
            <w:r w:rsidR="00B530CB">
              <w:rPr>
                <w:lang w:val="en-GB"/>
              </w:rPr>
              <w:t xml:space="preserve"> </w:t>
            </w:r>
          </w:p>
        </w:tc>
      </w:tr>
    </w:tbl>
    <w:p w14:paraId="67D6AE45" w14:textId="77777777" w:rsidR="00626DB0" w:rsidRPr="00A23F93" w:rsidRDefault="00794888" w:rsidP="001A51FE">
      <w:pPr>
        <w:pStyle w:val="BodytextRegular"/>
      </w:pPr>
      <w:r>
        <w:rPr>
          <w:noProof/>
        </w:rPr>
        <w:drawing>
          <wp:anchor distT="0" distB="0" distL="114300" distR="114300" simplePos="0" relativeHeight="251658240" behindDoc="1" locked="0" layoutInCell="1" allowOverlap="1" wp14:anchorId="3979A4FE" wp14:editId="4790F27C">
            <wp:simplePos x="0" y="0"/>
            <wp:positionH relativeFrom="column">
              <wp:posOffset>-534035</wp:posOffset>
            </wp:positionH>
            <wp:positionV relativeFrom="paragraph">
              <wp:posOffset>-599440</wp:posOffset>
            </wp:positionV>
            <wp:extent cx="7559040" cy="2705100"/>
            <wp:effectExtent l="0" t="0" r="3810" b="0"/>
            <wp:wrapNone/>
            <wp:docPr id="12676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68238"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559040" cy="27051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09"/>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92"/>
      </w:tblGrid>
      <w:tr w:rsidR="00E34B42" w:rsidRPr="00A23F93" w14:paraId="3E67056F" w14:textId="77777777" w:rsidTr="00A317E9">
        <w:trPr>
          <w:trHeight w:val="361"/>
        </w:trPr>
        <w:tc>
          <w:tcPr>
            <w:tcW w:w="10292" w:type="dxa"/>
            <w:tcMar>
              <w:left w:w="0" w:type="dxa"/>
              <w:right w:w="0" w:type="dxa"/>
            </w:tcMar>
            <w:vAlign w:val="bottom"/>
          </w:tcPr>
          <w:p w14:paraId="31E87897" w14:textId="77777777" w:rsidR="00E34B42" w:rsidRPr="00A23F93" w:rsidRDefault="00E34B42" w:rsidP="00A317E9">
            <w:pPr>
              <w:pStyle w:val="Coverdate"/>
              <w:rPr>
                <w:noProof w:val="0"/>
              </w:rPr>
            </w:pPr>
            <w:r w:rsidRPr="00A23F93">
              <w:rPr>
                <w:noProof w:val="0"/>
              </w:rPr>
              <w:t>Fund Manager</w:t>
            </w:r>
            <w:r>
              <w:rPr>
                <w:noProof w:val="0"/>
              </w:rPr>
              <w:t>(</w:t>
            </w:r>
            <w:r w:rsidRPr="00A23F93">
              <w:rPr>
                <w:noProof w:val="0"/>
              </w:rPr>
              <w:t>s</w:t>
            </w:r>
            <w:r>
              <w:rPr>
                <w:noProof w:val="0"/>
              </w:rPr>
              <w:t>)</w:t>
            </w:r>
            <w:r w:rsidRPr="00A23F93">
              <w:rPr>
                <w:noProof w:val="0"/>
              </w:rPr>
              <w:t xml:space="preserve">: </w:t>
            </w:r>
            <w:r>
              <w:t>Hugo Squire</w:t>
            </w:r>
            <w:r>
              <w:rPr>
                <w:noProof w:val="0"/>
              </w:rPr>
              <w:t xml:space="preserve"> </w:t>
            </w:r>
          </w:p>
        </w:tc>
      </w:tr>
      <w:tr w:rsidR="00E34B42" w:rsidRPr="00A23F93" w14:paraId="1BAE6DFD" w14:textId="77777777" w:rsidTr="00A317E9">
        <w:trPr>
          <w:trHeight w:val="351"/>
        </w:trPr>
        <w:tc>
          <w:tcPr>
            <w:tcW w:w="10292" w:type="dxa"/>
            <w:tcMar>
              <w:left w:w="0" w:type="dxa"/>
              <w:right w:w="0" w:type="dxa"/>
            </w:tcMar>
            <w:vAlign w:val="bottom"/>
          </w:tcPr>
          <w:p w14:paraId="11483F3B" w14:textId="77777777" w:rsidR="00E34B42" w:rsidRPr="00A23F93" w:rsidRDefault="00E34B42" w:rsidP="00A317E9">
            <w:pPr>
              <w:pStyle w:val="Coverdate"/>
              <w:rPr>
                <w:noProof w:val="0"/>
              </w:rPr>
            </w:pPr>
            <w:r w:rsidRPr="00A23F93">
              <w:rPr>
                <w:noProof w:val="0"/>
              </w:rPr>
              <w:t xml:space="preserve">Fund update: </w:t>
            </w:r>
            <w:r>
              <w:rPr>
                <w:noProof w:val="0"/>
              </w:rPr>
              <w:t xml:space="preserve">March 2026 </w:t>
            </w:r>
          </w:p>
        </w:tc>
      </w:tr>
      <w:tr w:rsidR="00E34B42" w:rsidRPr="00A23F93" w14:paraId="550B47B4" w14:textId="77777777" w:rsidTr="00A317E9">
        <w:trPr>
          <w:trHeight w:val="287"/>
        </w:trPr>
        <w:tc>
          <w:tcPr>
            <w:tcW w:w="10292" w:type="dxa"/>
            <w:tcMar>
              <w:left w:w="0" w:type="dxa"/>
              <w:right w:w="0" w:type="dxa"/>
            </w:tcMar>
            <w:vAlign w:val="bottom"/>
          </w:tcPr>
          <w:p w14:paraId="0DBE3531" w14:textId="77777777" w:rsidR="00E34B42" w:rsidRPr="00A23F93" w:rsidRDefault="00E34B42" w:rsidP="00A317E9">
            <w:pPr>
              <w:pStyle w:val="Coverdisclaimer"/>
              <w:rPr>
                <w:noProof w:val="0"/>
              </w:rPr>
            </w:pPr>
            <w:r>
              <w:rPr>
                <w:noProof w:val="0"/>
              </w:rPr>
              <w:t>Marketing material f</w:t>
            </w:r>
            <w:r w:rsidRPr="00A23F93">
              <w:rPr>
                <w:noProof w:val="0"/>
              </w:rPr>
              <w:t>or professional clients only.</w:t>
            </w:r>
          </w:p>
        </w:tc>
      </w:tr>
    </w:tbl>
    <w:p w14:paraId="2CCAB95B" w14:textId="77777777" w:rsidR="00A119CB" w:rsidRDefault="00A119CB" w:rsidP="001A51FE">
      <w:pPr>
        <w:pStyle w:val="BodytextRegular"/>
      </w:pPr>
    </w:p>
    <w:p w14:paraId="7835A049" w14:textId="77777777" w:rsidR="00B5080A" w:rsidRPr="00A23F93" w:rsidRDefault="00B5080A" w:rsidP="001A51FE">
      <w:pPr>
        <w:pStyle w:val="BodytextRegular"/>
      </w:pPr>
    </w:p>
    <w:p w14:paraId="3C53149E" w14:textId="77777777" w:rsidR="00994793" w:rsidRPr="00A23F93" w:rsidRDefault="00994793" w:rsidP="00994793">
      <w:pPr>
        <w:pStyle w:val="Sourcetext"/>
      </w:pPr>
      <w:bookmarkStart w:id="0" w:name="_Toc72515832"/>
      <w:bookmarkStart w:id="1" w:name="_Toc72584036"/>
    </w:p>
    <w:p w14:paraId="5A4AD43A" w14:textId="77777777" w:rsidR="00A119CB" w:rsidRPr="00A23F93" w:rsidRDefault="00A119CB" w:rsidP="00A119CB">
      <w:pPr>
        <w:pStyle w:val="Paragraphheaderprussiannavy"/>
      </w:pPr>
      <w:r w:rsidRPr="00A23F93">
        <w:t>Market Review</w:t>
      </w:r>
    </w:p>
    <w:p w14:paraId="57F0A495" w14:textId="77777777" w:rsidR="002B4FFE" w:rsidRDefault="00C66ABB" w:rsidP="00A119CB">
      <w:pPr>
        <w:pStyle w:val="BodytextRegular"/>
      </w:pPr>
      <w:r>
        <w:t xml:space="preserve">The war in the Middle East dominated bond markets during March, although investment grade credit remained resilient with US dollar markets performing broadly in line with government bonds. The prospect of tighter financial conditions weighed on European credit markets, which underperformed the US. </w:t>
      </w:r>
    </w:p>
    <w:p w14:paraId="502E8FF6" w14:textId="77777777" w:rsidR="002B4FFE" w:rsidRDefault="00C66ABB" w:rsidP="00A119CB">
      <w:pPr>
        <w:pStyle w:val="BodytextRegular"/>
      </w:pPr>
      <w:r>
        <w:t xml:space="preserve">Given the outbreak of conflict in the Middle East, primary market activity in European credit was relatively subdued while inflows into investment grade funds have largely dried up. During March, the decompression in credit spreads saw corporate hybrids, cyclical names and interest rate sensitive sectors, particularly real estate, underperform. Spreads in European high yield credit widened across the market, with real estate, capital goods and basic industries the sectors most impacted in the sell off. </w:t>
      </w:r>
    </w:p>
    <w:p w14:paraId="63AFC13B" w14:textId="77777777" w:rsidR="002B4FFE" w:rsidRDefault="00C66ABB" w:rsidP="00A119CB">
      <w:pPr>
        <w:pStyle w:val="BodytextRegular"/>
      </w:pPr>
      <w:r>
        <w:t xml:space="preserve">Heightened volatility and a surge in energy prices triggered a significant sell-off in government bond markets. While there was some regional divergence, government bond yields rose across the board, with short-dated securities the worst affected, as the energy price shock and the potential lead through into inflation saw bond markets pricing in interest rate hikes, where previously rate cuts were discounted. </w:t>
      </w:r>
    </w:p>
    <w:p w14:paraId="4229D18B" w14:textId="77777777" w:rsidR="002B4FFE" w:rsidRDefault="00C66ABB" w:rsidP="00A119CB">
      <w:pPr>
        <w:pStyle w:val="BodytextRegular"/>
      </w:pPr>
      <w:r>
        <w:t>European government bond markets underperformed the US, with the region’s reliance on energy imports raising market concerns over more persistent inflation. The European Central Bank (ECB) left the deposit rate unchanged at 2%, with President Lagarde stating that they are “well positioned and well equipped to deal with a major shock”.</w:t>
      </w:r>
    </w:p>
    <w:p w14:paraId="03BCA551" w14:textId="316671D5" w:rsidR="00A119CB" w:rsidRPr="00A23F93" w:rsidRDefault="00C66ABB" w:rsidP="00A119CB">
      <w:pPr>
        <w:pStyle w:val="BodytextRegular"/>
      </w:pPr>
      <w:r>
        <w:t>Nevertheless, the inflationary threat from higher oil prices has clouded the outlook for eurozone monetary policy. Annual inflation in the eurozone was 2.5% in March, up from 1.9% in February, according to an estimate from Eurostat. The flash eurozone composite purchasing managers index (PMI) indicated a slowdown in economic activity during March, as service sector activity stagnated.</w:t>
      </w:r>
      <w:r>
        <w:br/>
        <w:t xml:space="preserve"> </w:t>
      </w:r>
    </w:p>
    <w:p w14:paraId="771ECBA5" w14:textId="77777777" w:rsidR="00A119CB" w:rsidRPr="00A23F93" w:rsidRDefault="00A119CB" w:rsidP="00A119CB">
      <w:pPr>
        <w:pStyle w:val="Paragraphheaderprussiannavy"/>
      </w:pPr>
      <w:r w:rsidRPr="00A23F93">
        <w:t>Drivers of Fund Performance</w:t>
      </w:r>
    </w:p>
    <w:p w14:paraId="390909BE" w14:textId="77777777" w:rsidR="002B4FFE" w:rsidRDefault="00C66ABB" w:rsidP="00A119CB">
      <w:pPr>
        <w:pStyle w:val="BodytextRegular"/>
      </w:pPr>
      <w:r>
        <w:t>The fund posted a negative total return but outperformed the reference benchmark during March.</w:t>
      </w:r>
    </w:p>
    <w:p w14:paraId="5F65E418" w14:textId="55EB2576" w:rsidR="002B4FFE" w:rsidRDefault="00C66ABB" w:rsidP="00A119CB">
      <w:pPr>
        <w:pStyle w:val="BodytextRegular"/>
      </w:pPr>
      <w:r>
        <w:t>In the risk-off environment, portfolio protection against a sell-off in the European high yield market made a positive contribution to relative performance</w:t>
      </w:r>
      <w:r w:rsidR="002B4FFE">
        <w:t>.</w:t>
      </w:r>
    </w:p>
    <w:p w14:paraId="77F87FDC" w14:textId="77777777" w:rsidR="002B4FFE" w:rsidRDefault="00C66ABB" w:rsidP="00A119CB">
      <w:pPr>
        <w:pStyle w:val="BodytextRegular"/>
      </w:pPr>
      <w:r>
        <w:t xml:space="preserve">Off benchmark exposure to US data centre operators proved resilient in challenging market conditions. </w:t>
      </w:r>
      <w:r>
        <w:br/>
        <w:t>Holdings in the energy sector performed well as the effective closure of the Strait of Hormuz triggered a surge in oil and gas prices.</w:t>
      </w:r>
    </w:p>
    <w:p w14:paraId="7377741F" w14:textId="635611DF" w:rsidR="00A119CB" w:rsidRPr="00A23F93" w:rsidRDefault="00C66ABB" w:rsidP="00A119CB">
      <w:pPr>
        <w:pStyle w:val="BodytextRegular"/>
      </w:pPr>
      <w:r>
        <w:t>Exposure to the real estate sector detracted, notably holdings in a German commercial developer and a US healthcare real estate investment trust.</w:t>
      </w:r>
      <w:r>
        <w:br/>
        <w:t xml:space="preserve"> </w:t>
      </w:r>
    </w:p>
    <w:p w14:paraId="48AEBAC7" w14:textId="77777777" w:rsidR="00A119CB" w:rsidRPr="00A23F93" w:rsidRDefault="00A119CB" w:rsidP="00A119CB">
      <w:pPr>
        <w:pStyle w:val="Paragraphheaderprussiannavy"/>
      </w:pPr>
      <w:r w:rsidRPr="00A23F93">
        <w:t>Portfolio Activity</w:t>
      </w:r>
    </w:p>
    <w:p w14:paraId="0CA27ACA" w14:textId="77777777" w:rsidR="002B4FFE" w:rsidRDefault="00C66ABB" w:rsidP="00A119CB">
      <w:pPr>
        <w:pStyle w:val="BodytextRegular"/>
      </w:pPr>
      <w:r>
        <w:t xml:space="preserve">During March, we selectively added back an element of exposure to securities with a higher beta while increasing interest rate duration to a neutral stance relative to the benchmark. </w:t>
      </w:r>
    </w:p>
    <w:p w14:paraId="148365F3" w14:textId="77777777" w:rsidR="002B4FFE" w:rsidRDefault="002B4FFE" w:rsidP="00A119CB">
      <w:pPr>
        <w:pStyle w:val="BodytextRegular"/>
      </w:pPr>
      <w:r>
        <w:t>W</w:t>
      </w:r>
      <w:r w:rsidR="00C66ABB">
        <w:t>e participated in a new issue of hybrid securities from a European satellite operator which strengthens the capital structure and supports a deleveraging of the business.</w:t>
      </w:r>
    </w:p>
    <w:p w14:paraId="31031AA4" w14:textId="77777777" w:rsidR="002B4FFE" w:rsidRDefault="00C66ABB" w:rsidP="00A119CB">
      <w:pPr>
        <w:pStyle w:val="BodytextRegular"/>
      </w:pPr>
      <w:r>
        <w:t>The fund also added a position in a new issue from a North American company focused on specialty materials and chemicals used in construction, manufacturing, and pharmaceuticals. The holding is a strong strategic fit given increased defence spending and growth in aerospace, including AI-related applications.</w:t>
      </w:r>
    </w:p>
    <w:p w14:paraId="09AB7C8C" w14:textId="77777777" w:rsidR="002B4FFE" w:rsidRDefault="00C66ABB" w:rsidP="00A119CB">
      <w:pPr>
        <w:pStyle w:val="BodytextRegular"/>
      </w:pPr>
      <w:r>
        <w:t xml:space="preserve">Following the sell-off in the software sector, we added holdings in a provider of risk management software and a provider of software solutions for small and medium sized enterprises. </w:t>
      </w:r>
    </w:p>
    <w:p w14:paraId="46248873" w14:textId="77777777" w:rsidR="002B4FFE" w:rsidRDefault="002B4FFE" w:rsidP="00A119CB">
      <w:pPr>
        <w:pStyle w:val="BodytextRegular"/>
      </w:pPr>
      <w:r>
        <w:t>W</w:t>
      </w:r>
      <w:r w:rsidR="00C66ABB">
        <w:t xml:space="preserve">e also added a euro-denominated issue of hybrid securities from an auto manufacturer to strengthen the balance sheet as the business pivots away from the electric vehicle (EV) market. We are positive on the prospects for a </w:t>
      </w:r>
      <w:r w:rsidR="00C66ABB">
        <w:lastRenderedPageBreak/>
        <w:t xml:space="preserve">stabilisation in cash flows over the next 12-18 months. </w:t>
      </w:r>
    </w:p>
    <w:p w14:paraId="72404553" w14:textId="782175D6" w:rsidR="00A119CB" w:rsidRPr="00A23F93" w:rsidRDefault="00C66ABB" w:rsidP="00A119CB">
      <w:pPr>
        <w:pStyle w:val="BodytextRegular"/>
      </w:pPr>
      <w:r>
        <w:t>We sold down portfolio protection against weakness in the European high yield market after credit spreads had widened</w:t>
      </w:r>
      <w:r w:rsidR="002B4FFE">
        <w:t xml:space="preserve"> </w:t>
      </w:r>
      <w:r>
        <w:t>earlier in the month.</w:t>
      </w:r>
      <w:r w:rsidR="002B4FFE">
        <w:t xml:space="preserve"> </w:t>
      </w:r>
      <w:r>
        <w:t xml:space="preserve">We also took profits on holdings in the energy sector, reducing the fund’s overweight allocation. </w:t>
      </w:r>
      <w:r>
        <w:br/>
        <w:t xml:space="preserve"> </w:t>
      </w:r>
    </w:p>
    <w:p w14:paraId="26B0639C" w14:textId="77777777" w:rsidR="002C423C" w:rsidRPr="00A23F93" w:rsidRDefault="002C423C" w:rsidP="00B5080A">
      <w:pPr>
        <w:pStyle w:val="Paragraphheaderprussiannavy"/>
      </w:pPr>
      <w:r w:rsidRPr="00A23F93">
        <w:t>Outlook/positioning</w:t>
      </w:r>
    </w:p>
    <w:p w14:paraId="7EC341E6" w14:textId="77777777" w:rsidR="002B4FFE" w:rsidRDefault="00C66ABB" w:rsidP="002C423C">
      <w:pPr>
        <w:pStyle w:val="BodytextRegular"/>
      </w:pPr>
      <w:r>
        <w:t xml:space="preserve">European bond markets have repriced significantly since the onset of the Middle Eastern conflict at the end of February. This is more pronounced in shorter-dated securities, as investors have now discounted the prospect of monetary tightening over the next 12 months having previously anticipated that the ECB would leave interest rates on hold. </w:t>
      </w:r>
    </w:p>
    <w:p w14:paraId="125D38E2" w14:textId="77777777" w:rsidR="002B4FFE" w:rsidRDefault="00C66ABB" w:rsidP="002C423C">
      <w:pPr>
        <w:pStyle w:val="BodytextRegular"/>
      </w:pPr>
      <w:r>
        <w:t xml:space="preserve">Given the eurozone’s reliance on energy imports, there is a high vulnerability to disruption of both oil and gas supplies and any sustained rise in energy prices would have a significant impact on inflation.  However, we would expect markets to focus more on the growth outlook during the second quarter where there is a risk that prolonged disruption to energy supplies could also derail any recovery in the manufacturing sector, while squeezing real incomes and negating the risks of second round effects, such as rising medium-term inflation expectations and wages. </w:t>
      </w:r>
    </w:p>
    <w:p w14:paraId="059BB61C" w14:textId="77777777" w:rsidR="002B4FFE" w:rsidRDefault="00C66ABB" w:rsidP="002C423C">
      <w:pPr>
        <w:pStyle w:val="BodytextRegular"/>
      </w:pPr>
      <w:r>
        <w:t>Nevertheless, in comparison to the 2022 energy price shock after the start of the Russia-Ukraine conflict, the starting point now is better. Four years ago, supply chains were already highly disrupted in the aftermath of the pandemic, inflation expectations were dis-anchored while wage growth was far above levels consistent with the ECB’s 2% inflation target. Yield levels are also elevated compared to the start of 2022, providing a meaningful buffer against volatility.</w:t>
      </w:r>
    </w:p>
    <w:p w14:paraId="45A32350" w14:textId="77777777" w:rsidR="002B4FFE" w:rsidRDefault="00C66ABB" w:rsidP="002C423C">
      <w:pPr>
        <w:pStyle w:val="BodytextRegular"/>
      </w:pPr>
      <w:r>
        <w:t xml:space="preserve">While valuations have improved in European credit markets following recent weakness, spreads remain at low levels historically. Furthermore, the technical backdrop is not as favourable with investors more circumspect and reluctant to increase allocations to riskier asset classes, given the current elevated levels of geopolitical uncertainty where various outcomes to the conflict in the Middle East remain possible. </w:t>
      </w:r>
    </w:p>
    <w:p w14:paraId="57EA2539" w14:textId="16BC01F0" w:rsidR="002C423C" w:rsidRPr="00A23F93" w:rsidRDefault="00C66ABB" w:rsidP="002C423C">
      <w:pPr>
        <w:pStyle w:val="BodytextRegular"/>
      </w:pPr>
      <w:r>
        <w:t>Against this backdrop, we have added risk modestly while continuing to place a strong emphasis on credit quality, focusing on opportunities that offer good carry and favourable underlying credit fundamentals, while limiting exposure to cyclical sectors and issues which are vulnerable to near-term refinancing pressures</w:t>
      </w:r>
      <w:r>
        <w:br/>
        <w:t xml:space="preserve"> </w:t>
      </w:r>
    </w:p>
    <w:p w14:paraId="4CA2D578" w14:textId="77777777" w:rsidR="00BE29C1" w:rsidRPr="00A23F93" w:rsidRDefault="00DB6B18" w:rsidP="002C423C">
      <w:pPr>
        <w:pStyle w:val="Paragraphheaderprussiannavy"/>
      </w:pPr>
      <w:r>
        <w:t>Calendar</w:t>
      </w:r>
      <w:r w:rsidR="002C423C" w:rsidRPr="00A23F93">
        <w:t xml:space="preserve"> yearly performance (%)</w:t>
      </w:r>
    </w:p>
    <w:p w14:paraId="1DE44DAA" w14:textId="77777777" w:rsidR="00A119CB" w:rsidRDefault="002C423C" w:rsidP="00BE29C1">
      <w:pPr>
        <w:pStyle w:val="BodytextRegular"/>
      </w:pPr>
      <w:r w:rsidRPr="00A23F93">
        <w:rPr>
          <w:b/>
          <w:bCs/>
        </w:rPr>
        <w:t>Past performance does not predict future returns.</w:t>
      </w:r>
    </w:p>
    <w:tbl>
      <w:tblPr>
        <w:tblStyle w:val="Table"/>
        <w:tblW w:w="5000" w:type="pct"/>
        <w:tblLook w:val="0620" w:firstRow="1" w:lastRow="0" w:firstColumn="0" w:lastColumn="0" w:noHBand="1" w:noVBand="1"/>
      </w:tblPr>
      <w:tblGrid>
        <w:gridCol w:w="2041"/>
        <w:gridCol w:w="2755"/>
        <w:gridCol w:w="2755"/>
        <w:gridCol w:w="2653"/>
      </w:tblGrid>
      <w:tr w:rsidR="00577226" w:rsidRPr="00A23F93" w14:paraId="7BE2E2C2" w14:textId="77777777" w:rsidTr="00275704">
        <w:trPr>
          <w:cnfStyle w:val="100000000000" w:firstRow="1" w:lastRow="0" w:firstColumn="0" w:lastColumn="0" w:oddVBand="0" w:evenVBand="0" w:oddHBand="0" w:evenHBand="0" w:firstRowFirstColumn="0" w:firstRowLastColumn="0" w:lastRowFirstColumn="0" w:lastRowLastColumn="0"/>
          <w:trHeight w:val="391"/>
        </w:trPr>
        <w:tc>
          <w:tcPr>
            <w:tcW w:w="1000" w:type="pct"/>
          </w:tcPr>
          <w:p w14:paraId="5A8429E7" w14:textId="77777777" w:rsidR="00577226" w:rsidRPr="00A23F93" w:rsidRDefault="00577226" w:rsidP="0013085F">
            <w:pPr>
              <w:pStyle w:val="Tabletext"/>
            </w:pPr>
            <w:r>
              <w:t>Period</w:t>
            </w:r>
          </w:p>
        </w:tc>
        <w:tc>
          <w:tcPr>
            <w:tcW w:w="1350" w:type="pct"/>
          </w:tcPr>
          <w:p w14:paraId="1B487722" w14:textId="77777777" w:rsidR="00577226" w:rsidRPr="00A23F93" w:rsidRDefault="00501848" w:rsidP="0013085F">
            <w:pPr>
              <w:pStyle w:val="Tabletext"/>
              <w:ind w:right="563"/>
              <w:jc w:val="right"/>
            </w:pPr>
            <w:r>
              <w:t xml:space="preserve">Fund A Acc EUR </w:t>
            </w:r>
          </w:p>
        </w:tc>
        <w:tc>
          <w:tcPr>
            <w:tcW w:w="1350" w:type="pct"/>
          </w:tcPr>
          <w:p w14:paraId="460F22A0" w14:textId="77777777" w:rsidR="00577226" w:rsidRDefault="00501848" w:rsidP="0013085F">
            <w:pPr>
              <w:pStyle w:val="Tabletext"/>
              <w:ind w:right="563"/>
              <w:jc w:val="right"/>
            </w:pPr>
            <w:r>
              <w:t>Fund I Acc EUR</w:t>
            </w:r>
            <w:r w:rsidR="00577226">
              <w:t xml:space="preserve"> </w:t>
            </w:r>
          </w:p>
        </w:tc>
        <w:tc>
          <w:tcPr>
            <w:tcW w:w="1300" w:type="pct"/>
          </w:tcPr>
          <w:p w14:paraId="4DB034B5" w14:textId="77777777" w:rsidR="00577226" w:rsidRPr="00501848" w:rsidRDefault="007B2F34" w:rsidP="0013085F">
            <w:pPr>
              <w:pStyle w:val="Tabletext"/>
              <w:ind w:right="563"/>
              <w:jc w:val="right"/>
              <w:rPr>
                <w:szCs w:val="18"/>
              </w:rPr>
            </w:pPr>
            <w:r>
              <w:rPr>
                <w:szCs w:val="18"/>
              </w:rPr>
              <w:t>Benchmark</w:t>
            </w:r>
            <w:r w:rsidR="00501848" w:rsidRPr="00501848">
              <w:rPr>
                <w:szCs w:val="18"/>
                <w:vertAlign w:val="superscript"/>
              </w:rPr>
              <w:t>1</w:t>
            </w:r>
            <w:r w:rsidR="00577226" w:rsidRPr="00501848">
              <w:rPr>
                <w:szCs w:val="18"/>
              </w:rPr>
              <w:t xml:space="preserve"> </w:t>
            </w:r>
          </w:p>
        </w:tc>
      </w:tr>
      <w:tr w:rsidR="00577226" w:rsidRPr="00A23F93" w14:paraId="654B1378" w14:textId="77777777" w:rsidTr="00275704">
        <w:trPr>
          <w:trHeight w:val="391"/>
        </w:trPr>
        <w:tc>
          <w:tcPr>
            <w:tcW w:w="1000" w:type="pct"/>
            <w:vAlign w:val="top"/>
          </w:tcPr>
          <w:p w14:paraId="4A2238F8" w14:textId="77777777" w:rsidR="00577226" w:rsidRPr="00A23F93" w:rsidRDefault="00577226" w:rsidP="0013085F">
            <w:pPr>
              <w:pStyle w:val="Tabletext"/>
            </w:pPr>
            <w:r>
              <w:t xml:space="preserve">2025 </w:t>
            </w:r>
          </w:p>
        </w:tc>
        <w:tc>
          <w:tcPr>
            <w:tcW w:w="1350" w:type="pct"/>
            <w:vAlign w:val="top"/>
          </w:tcPr>
          <w:p w14:paraId="1DF04BC0" w14:textId="77777777" w:rsidR="00577226" w:rsidRPr="00A23F93" w:rsidRDefault="00577226" w:rsidP="0013085F">
            <w:pPr>
              <w:pStyle w:val="Tabletext"/>
              <w:ind w:right="563"/>
              <w:jc w:val="right"/>
            </w:pPr>
            <w:r>
              <w:t xml:space="preserve">4.9 </w:t>
            </w:r>
          </w:p>
        </w:tc>
        <w:tc>
          <w:tcPr>
            <w:tcW w:w="1350" w:type="pct"/>
          </w:tcPr>
          <w:p w14:paraId="2696CD6F" w14:textId="77777777" w:rsidR="00577226" w:rsidRDefault="00577226" w:rsidP="0013085F">
            <w:pPr>
              <w:pStyle w:val="Tabletext"/>
              <w:ind w:right="563"/>
              <w:jc w:val="right"/>
            </w:pPr>
            <w:r>
              <w:t xml:space="preserve">6.2 </w:t>
            </w:r>
          </w:p>
        </w:tc>
        <w:tc>
          <w:tcPr>
            <w:tcW w:w="1300" w:type="pct"/>
          </w:tcPr>
          <w:p w14:paraId="0253D626" w14:textId="77777777" w:rsidR="00577226" w:rsidRPr="00A23F93" w:rsidRDefault="00577226" w:rsidP="0013085F">
            <w:pPr>
              <w:pStyle w:val="Tabletext"/>
              <w:ind w:right="563"/>
              <w:jc w:val="right"/>
            </w:pPr>
            <w:r>
              <w:t>5.1</w:t>
            </w:r>
          </w:p>
        </w:tc>
      </w:tr>
      <w:tr w:rsidR="00577226" w:rsidRPr="00A23F93" w14:paraId="5CFF87A6" w14:textId="77777777" w:rsidTr="00275704">
        <w:trPr>
          <w:trHeight w:val="391"/>
        </w:trPr>
        <w:tc>
          <w:tcPr>
            <w:tcW w:w="1000" w:type="pct"/>
            <w:vAlign w:val="top"/>
          </w:tcPr>
          <w:p w14:paraId="0C36CE1F" w14:textId="77777777" w:rsidR="00577226" w:rsidRPr="00A23F93" w:rsidRDefault="00577226" w:rsidP="0013085F">
            <w:pPr>
              <w:pStyle w:val="Tabletext"/>
            </w:pPr>
            <w:r>
              <w:t xml:space="preserve">2024 </w:t>
            </w:r>
          </w:p>
        </w:tc>
        <w:tc>
          <w:tcPr>
            <w:tcW w:w="1350" w:type="pct"/>
            <w:vAlign w:val="top"/>
          </w:tcPr>
          <w:p w14:paraId="2D8E387B" w14:textId="77777777" w:rsidR="00577226" w:rsidRPr="00A23F93" w:rsidRDefault="00577226" w:rsidP="0013085F">
            <w:pPr>
              <w:pStyle w:val="Tabletext"/>
              <w:ind w:right="563"/>
              <w:jc w:val="right"/>
            </w:pPr>
            <w:r>
              <w:t xml:space="preserve">10.9 </w:t>
            </w:r>
          </w:p>
        </w:tc>
        <w:tc>
          <w:tcPr>
            <w:tcW w:w="1350" w:type="pct"/>
          </w:tcPr>
          <w:p w14:paraId="44198985" w14:textId="77777777" w:rsidR="00577226" w:rsidRDefault="00577226" w:rsidP="0013085F">
            <w:pPr>
              <w:pStyle w:val="Tabletext"/>
              <w:ind w:right="563"/>
              <w:jc w:val="right"/>
            </w:pPr>
            <w:r>
              <w:t xml:space="preserve">12.3 </w:t>
            </w:r>
          </w:p>
        </w:tc>
        <w:tc>
          <w:tcPr>
            <w:tcW w:w="1300" w:type="pct"/>
          </w:tcPr>
          <w:p w14:paraId="22BD8E0F" w14:textId="77777777" w:rsidR="00577226" w:rsidRPr="00A23F93" w:rsidRDefault="00577226" w:rsidP="0013085F">
            <w:pPr>
              <w:pStyle w:val="Tabletext"/>
              <w:ind w:right="563"/>
              <w:jc w:val="right"/>
            </w:pPr>
            <w:r>
              <w:t>8.6</w:t>
            </w:r>
          </w:p>
        </w:tc>
      </w:tr>
      <w:tr w:rsidR="00577226" w:rsidRPr="00A23F93" w14:paraId="0DCA32E1" w14:textId="77777777" w:rsidTr="00275704">
        <w:trPr>
          <w:trHeight w:val="391"/>
        </w:trPr>
        <w:tc>
          <w:tcPr>
            <w:tcW w:w="1000" w:type="pct"/>
            <w:vAlign w:val="top"/>
          </w:tcPr>
          <w:p w14:paraId="5203DFF8" w14:textId="77777777" w:rsidR="00577226" w:rsidRPr="00A23F93" w:rsidRDefault="00577226" w:rsidP="0013085F">
            <w:pPr>
              <w:pStyle w:val="Tabletext"/>
            </w:pPr>
            <w:r>
              <w:t xml:space="preserve">2023 </w:t>
            </w:r>
          </w:p>
        </w:tc>
        <w:tc>
          <w:tcPr>
            <w:tcW w:w="1350" w:type="pct"/>
            <w:vAlign w:val="top"/>
          </w:tcPr>
          <w:p w14:paraId="79B3FFD0" w14:textId="77777777" w:rsidR="00577226" w:rsidRPr="00A23F93" w:rsidRDefault="00577226" w:rsidP="0013085F">
            <w:pPr>
              <w:pStyle w:val="Tabletext"/>
              <w:ind w:right="563"/>
              <w:jc w:val="right"/>
            </w:pPr>
            <w:r>
              <w:t xml:space="preserve">11.8 </w:t>
            </w:r>
          </w:p>
        </w:tc>
        <w:tc>
          <w:tcPr>
            <w:tcW w:w="1350" w:type="pct"/>
          </w:tcPr>
          <w:p w14:paraId="0969BCC9" w14:textId="77777777" w:rsidR="00577226" w:rsidRDefault="00577226" w:rsidP="0013085F">
            <w:pPr>
              <w:pStyle w:val="Tabletext"/>
              <w:ind w:right="563"/>
              <w:jc w:val="right"/>
            </w:pPr>
            <w:r>
              <w:t xml:space="preserve">13.1 </w:t>
            </w:r>
          </w:p>
        </w:tc>
        <w:tc>
          <w:tcPr>
            <w:tcW w:w="1300" w:type="pct"/>
          </w:tcPr>
          <w:p w14:paraId="387C25FD" w14:textId="77777777" w:rsidR="00577226" w:rsidRPr="00A23F93" w:rsidRDefault="00577226" w:rsidP="0013085F">
            <w:pPr>
              <w:pStyle w:val="Tabletext"/>
              <w:ind w:right="563"/>
              <w:jc w:val="right"/>
            </w:pPr>
            <w:r>
              <w:t>12.0</w:t>
            </w:r>
          </w:p>
        </w:tc>
      </w:tr>
      <w:tr w:rsidR="00577226" w:rsidRPr="00A23F93" w14:paraId="28CF4218" w14:textId="77777777" w:rsidTr="00275704">
        <w:trPr>
          <w:trHeight w:val="391"/>
        </w:trPr>
        <w:tc>
          <w:tcPr>
            <w:tcW w:w="1000" w:type="pct"/>
            <w:vAlign w:val="top"/>
          </w:tcPr>
          <w:p w14:paraId="210E9EA8" w14:textId="77777777" w:rsidR="00577226" w:rsidRPr="00A23F93" w:rsidRDefault="00577226" w:rsidP="0013085F">
            <w:pPr>
              <w:pStyle w:val="Tabletext"/>
            </w:pPr>
            <w:r>
              <w:t xml:space="preserve">2022 </w:t>
            </w:r>
          </w:p>
        </w:tc>
        <w:tc>
          <w:tcPr>
            <w:tcW w:w="1350" w:type="pct"/>
            <w:vAlign w:val="top"/>
          </w:tcPr>
          <w:p w14:paraId="48E9605B" w14:textId="77777777" w:rsidR="00577226" w:rsidRPr="00A23F93" w:rsidRDefault="00577226" w:rsidP="0013085F">
            <w:pPr>
              <w:pStyle w:val="Tabletext"/>
              <w:ind w:right="563"/>
              <w:jc w:val="right"/>
            </w:pPr>
            <w:r>
              <w:t xml:space="preserve">-13.8 </w:t>
            </w:r>
          </w:p>
        </w:tc>
        <w:tc>
          <w:tcPr>
            <w:tcW w:w="1350" w:type="pct"/>
          </w:tcPr>
          <w:p w14:paraId="3C226E48" w14:textId="77777777" w:rsidR="00577226" w:rsidRDefault="00577226" w:rsidP="0013085F">
            <w:pPr>
              <w:pStyle w:val="Tabletext"/>
              <w:ind w:right="563"/>
              <w:jc w:val="right"/>
            </w:pPr>
            <w:r>
              <w:t xml:space="preserve">-12.8 </w:t>
            </w:r>
          </w:p>
        </w:tc>
        <w:tc>
          <w:tcPr>
            <w:tcW w:w="1300" w:type="pct"/>
          </w:tcPr>
          <w:p w14:paraId="0FED973A" w14:textId="77777777" w:rsidR="00577226" w:rsidRPr="00A23F93" w:rsidRDefault="00577226" w:rsidP="0013085F">
            <w:pPr>
              <w:pStyle w:val="Tabletext"/>
              <w:ind w:right="563"/>
              <w:jc w:val="right"/>
            </w:pPr>
            <w:r>
              <w:t>-11.5</w:t>
            </w:r>
          </w:p>
        </w:tc>
      </w:tr>
      <w:tr w:rsidR="00577226" w:rsidRPr="00A23F93" w14:paraId="32A17C82" w14:textId="77777777" w:rsidTr="00275704">
        <w:trPr>
          <w:trHeight w:val="391"/>
        </w:trPr>
        <w:tc>
          <w:tcPr>
            <w:tcW w:w="1000" w:type="pct"/>
            <w:vAlign w:val="top"/>
          </w:tcPr>
          <w:p w14:paraId="32276B23" w14:textId="77777777" w:rsidR="00577226" w:rsidRPr="00A23F93" w:rsidRDefault="00577226" w:rsidP="0013085F">
            <w:pPr>
              <w:pStyle w:val="Tabletext"/>
            </w:pPr>
            <w:r>
              <w:t xml:space="preserve">2021 </w:t>
            </w:r>
          </w:p>
        </w:tc>
        <w:tc>
          <w:tcPr>
            <w:tcW w:w="1350" w:type="pct"/>
            <w:vAlign w:val="top"/>
          </w:tcPr>
          <w:p w14:paraId="2D45DE14" w14:textId="77777777" w:rsidR="00577226" w:rsidRPr="00A23F93" w:rsidRDefault="00577226" w:rsidP="0013085F">
            <w:pPr>
              <w:pStyle w:val="Tabletext"/>
              <w:ind w:right="563"/>
              <w:jc w:val="right"/>
            </w:pPr>
            <w:r>
              <w:t xml:space="preserve">4.5 </w:t>
            </w:r>
          </w:p>
        </w:tc>
        <w:tc>
          <w:tcPr>
            <w:tcW w:w="1350" w:type="pct"/>
          </w:tcPr>
          <w:p w14:paraId="6C65803A" w14:textId="77777777" w:rsidR="00577226" w:rsidRDefault="00577226" w:rsidP="0013085F">
            <w:pPr>
              <w:pStyle w:val="Tabletext"/>
              <w:ind w:right="563"/>
              <w:jc w:val="right"/>
            </w:pPr>
            <w:r>
              <w:t xml:space="preserve">5.8 </w:t>
            </w:r>
          </w:p>
        </w:tc>
        <w:tc>
          <w:tcPr>
            <w:tcW w:w="1300" w:type="pct"/>
          </w:tcPr>
          <w:p w14:paraId="0CF51E8B" w14:textId="77777777" w:rsidR="00577226" w:rsidRPr="00A23F93" w:rsidRDefault="00577226" w:rsidP="0013085F">
            <w:pPr>
              <w:pStyle w:val="Tabletext"/>
              <w:ind w:right="563"/>
              <w:jc w:val="right"/>
            </w:pPr>
            <w:r>
              <w:t>3.3</w:t>
            </w:r>
          </w:p>
        </w:tc>
      </w:tr>
      <w:tr w:rsidR="00577226" w:rsidRPr="00A23F93" w14:paraId="0D94BE45" w14:textId="77777777" w:rsidTr="00275704">
        <w:trPr>
          <w:trHeight w:val="391"/>
        </w:trPr>
        <w:tc>
          <w:tcPr>
            <w:tcW w:w="1000" w:type="pct"/>
            <w:vAlign w:val="top"/>
          </w:tcPr>
          <w:p w14:paraId="78326209" w14:textId="77777777" w:rsidR="00577226" w:rsidRPr="00A23F93" w:rsidRDefault="00577226" w:rsidP="0013085F">
            <w:pPr>
              <w:pStyle w:val="Tabletext"/>
            </w:pPr>
            <w:r>
              <w:t xml:space="preserve">2020 </w:t>
            </w:r>
          </w:p>
        </w:tc>
        <w:tc>
          <w:tcPr>
            <w:tcW w:w="1350" w:type="pct"/>
            <w:vAlign w:val="top"/>
          </w:tcPr>
          <w:p w14:paraId="3FE7F92B" w14:textId="77777777" w:rsidR="00577226" w:rsidRPr="00A23F93" w:rsidRDefault="00577226" w:rsidP="0013085F">
            <w:pPr>
              <w:pStyle w:val="Tabletext"/>
              <w:ind w:right="563"/>
              <w:jc w:val="right"/>
            </w:pPr>
            <w:r>
              <w:t xml:space="preserve">4.2 </w:t>
            </w:r>
          </w:p>
        </w:tc>
        <w:tc>
          <w:tcPr>
            <w:tcW w:w="1350" w:type="pct"/>
          </w:tcPr>
          <w:p w14:paraId="414EB0E0" w14:textId="77777777" w:rsidR="00577226" w:rsidRDefault="00577226" w:rsidP="0013085F">
            <w:pPr>
              <w:pStyle w:val="Tabletext"/>
              <w:ind w:right="563"/>
              <w:jc w:val="right"/>
            </w:pPr>
            <w:r>
              <w:t xml:space="preserve">5.6 </w:t>
            </w:r>
          </w:p>
        </w:tc>
        <w:tc>
          <w:tcPr>
            <w:tcW w:w="1300" w:type="pct"/>
          </w:tcPr>
          <w:p w14:paraId="02E45B71" w14:textId="77777777" w:rsidR="00577226" w:rsidRPr="00A23F93" w:rsidRDefault="00577226" w:rsidP="0013085F">
            <w:pPr>
              <w:pStyle w:val="Tabletext"/>
              <w:ind w:right="563"/>
              <w:jc w:val="right"/>
            </w:pPr>
            <w:r>
              <w:t>2.7</w:t>
            </w:r>
          </w:p>
        </w:tc>
      </w:tr>
      <w:tr w:rsidR="00577226" w:rsidRPr="00A23F93" w14:paraId="1B920F55" w14:textId="77777777" w:rsidTr="00275704">
        <w:trPr>
          <w:trHeight w:val="391"/>
        </w:trPr>
        <w:tc>
          <w:tcPr>
            <w:tcW w:w="1000" w:type="pct"/>
            <w:vAlign w:val="top"/>
          </w:tcPr>
          <w:p w14:paraId="1E5403BC" w14:textId="77777777" w:rsidR="00577226" w:rsidRPr="00A23F93" w:rsidRDefault="00577226" w:rsidP="0013085F">
            <w:pPr>
              <w:pStyle w:val="Tabletext"/>
            </w:pPr>
            <w:r>
              <w:t xml:space="preserve">2019 </w:t>
            </w:r>
          </w:p>
        </w:tc>
        <w:tc>
          <w:tcPr>
            <w:tcW w:w="1350" w:type="pct"/>
            <w:vAlign w:val="top"/>
          </w:tcPr>
          <w:p w14:paraId="1820034A" w14:textId="77777777" w:rsidR="00577226" w:rsidRPr="00A23F93" w:rsidRDefault="00577226" w:rsidP="0013085F">
            <w:pPr>
              <w:pStyle w:val="Tabletext"/>
              <w:ind w:right="563"/>
              <w:jc w:val="right"/>
            </w:pPr>
            <w:r>
              <w:t xml:space="preserve">9.8 </w:t>
            </w:r>
          </w:p>
        </w:tc>
        <w:tc>
          <w:tcPr>
            <w:tcW w:w="1350" w:type="pct"/>
          </w:tcPr>
          <w:p w14:paraId="1F2AE602" w14:textId="77777777" w:rsidR="00577226" w:rsidRDefault="00577226" w:rsidP="0013085F">
            <w:pPr>
              <w:pStyle w:val="Tabletext"/>
              <w:ind w:right="563"/>
              <w:jc w:val="right"/>
            </w:pPr>
            <w:r>
              <w:t xml:space="preserve">11.1 </w:t>
            </w:r>
          </w:p>
        </w:tc>
        <w:tc>
          <w:tcPr>
            <w:tcW w:w="1300" w:type="pct"/>
          </w:tcPr>
          <w:p w14:paraId="4BC69013" w14:textId="77777777" w:rsidR="00577226" w:rsidRPr="00A23F93" w:rsidRDefault="00577226" w:rsidP="0013085F">
            <w:pPr>
              <w:pStyle w:val="Tabletext"/>
              <w:ind w:right="563"/>
              <w:jc w:val="right"/>
            </w:pPr>
            <w:r>
              <w:t>11.2</w:t>
            </w:r>
          </w:p>
        </w:tc>
      </w:tr>
      <w:tr w:rsidR="00577226" w:rsidRPr="00A23F93" w14:paraId="3BCBEF30" w14:textId="77777777" w:rsidTr="00275704">
        <w:trPr>
          <w:trHeight w:val="391"/>
        </w:trPr>
        <w:tc>
          <w:tcPr>
            <w:tcW w:w="1000" w:type="pct"/>
            <w:vAlign w:val="top"/>
          </w:tcPr>
          <w:p w14:paraId="4D62EEF8" w14:textId="77777777" w:rsidR="00577226" w:rsidRPr="00A23F93" w:rsidRDefault="00577226" w:rsidP="0013085F">
            <w:pPr>
              <w:pStyle w:val="Tabletext"/>
            </w:pPr>
            <w:r>
              <w:t xml:space="preserve">2018 </w:t>
            </w:r>
          </w:p>
        </w:tc>
        <w:tc>
          <w:tcPr>
            <w:tcW w:w="1350" w:type="pct"/>
            <w:vAlign w:val="top"/>
          </w:tcPr>
          <w:p w14:paraId="677677AF" w14:textId="77777777" w:rsidR="00577226" w:rsidRPr="00A23F93" w:rsidRDefault="00577226" w:rsidP="0013085F">
            <w:pPr>
              <w:pStyle w:val="Tabletext"/>
              <w:ind w:right="563"/>
              <w:jc w:val="right"/>
            </w:pPr>
            <w:r>
              <w:t xml:space="preserve">-5.5 </w:t>
            </w:r>
          </w:p>
        </w:tc>
        <w:tc>
          <w:tcPr>
            <w:tcW w:w="1350" w:type="pct"/>
          </w:tcPr>
          <w:p w14:paraId="46DA5B60" w14:textId="77777777" w:rsidR="00577226" w:rsidRDefault="00577226" w:rsidP="0013085F">
            <w:pPr>
              <w:pStyle w:val="Tabletext"/>
              <w:ind w:right="563"/>
              <w:jc w:val="right"/>
            </w:pPr>
            <w:r>
              <w:t xml:space="preserve">-4.4 </w:t>
            </w:r>
          </w:p>
        </w:tc>
        <w:tc>
          <w:tcPr>
            <w:tcW w:w="1300" w:type="pct"/>
          </w:tcPr>
          <w:p w14:paraId="41F053CE" w14:textId="77777777" w:rsidR="00577226" w:rsidRPr="00A23F93" w:rsidRDefault="00577226" w:rsidP="0013085F">
            <w:pPr>
              <w:pStyle w:val="Tabletext"/>
              <w:ind w:right="563"/>
              <w:jc w:val="right"/>
            </w:pPr>
            <w:r>
              <w:t>-3.6</w:t>
            </w:r>
          </w:p>
        </w:tc>
      </w:tr>
      <w:tr w:rsidR="00577226" w:rsidRPr="00A23F93" w14:paraId="70A32DCC" w14:textId="77777777" w:rsidTr="00275704">
        <w:trPr>
          <w:trHeight w:val="391"/>
        </w:trPr>
        <w:tc>
          <w:tcPr>
            <w:tcW w:w="1000" w:type="pct"/>
            <w:vAlign w:val="top"/>
          </w:tcPr>
          <w:p w14:paraId="19A3C6C0" w14:textId="77777777" w:rsidR="00577226" w:rsidRPr="00A23F93" w:rsidRDefault="00577226" w:rsidP="0013085F">
            <w:pPr>
              <w:pStyle w:val="Tabletext"/>
            </w:pPr>
            <w:r>
              <w:t xml:space="preserve">2017 </w:t>
            </w:r>
          </w:p>
        </w:tc>
        <w:tc>
          <w:tcPr>
            <w:tcW w:w="1350" w:type="pct"/>
            <w:vAlign w:val="top"/>
          </w:tcPr>
          <w:p w14:paraId="3B0C8413" w14:textId="77777777" w:rsidR="00577226" w:rsidRPr="00A23F93" w:rsidRDefault="00577226" w:rsidP="0013085F">
            <w:pPr>
              <w:pStyle w:val="Tabletext"/>
              <w:ind w:right="563"/>
              <w:jc w:val="right"/>
            </w:pPr>
            <w:r>
              <w:t xml:space="preserve">6.7 </w:t>
            </w:r>
          </w:p>
        </w:tc>
        <w:tc>
          <w:tcPr>
            <w:tcW w:w="1350" w:type="pct"/>
          </w:tcPr>
          <w:p w14:paraId="6A339BF3" w14:textId="77777777" w:rsidR="00577226" w:rsidRDefault="00577226" w:rsidP="0013085F">
            <w:pPr>
              <w:pStyle w:val="Tabletext"/>
              <w:ind w:right="563"/>
              <w:jc w:val="right"/>
            </w:pPr>
            <w:r>
              <w:t xml:space="preserve">8.0 </w:t>
            </w:r>
          </w:p>
        </w:tc>
        <w:tc>
          <w:tcPr>
            <w:tcW w:w="1300" w:type="pct"/>
          </w:tcPr>
          <w:p w14:paraId="58F2AB51" w14:textId="77777777" w:rsidR="00577226" w:rsidRPr="00A23F93" w:rsidRDefault="00577226" w:rsidP="0013085F">
            <w:pPr>
              <w:pStyle w:val="Tabletext"/>
              <w:ind w:right="563"/>
              <w:jc w:val="right"/>
            </w:pPr>
            <w:r>
              <w:t>6.7</w:t>
            </w:r>
          </w:p>
        </w:tc>
      </w:tr>
      <w:tr w:rsidR="00577226" w:rsidRPr="00A23F93" w14:paraId="14D03825" w14:textId="77777777" w:rsidTr="00275704">
        <w:trPr>
          <w:trHeight w:val="391"/>
        </w:trPr>
        <w:tc>
          <w:tcPr>
            <w:tcW w:w="1000" w:type="pct"/>
            <w:vAlign w:val="top"/>
          </w:tcPr>
          <w:p w14:paraId="3F20D01D" w14:textId="77777777" w:rsidR="00577226" w:rsidRPr="00A23F93" w:rsidRDefault="00577226" w:rsidP="0013085F">
            <w:pPr>
              <w:pStyle w:val="Tabletext"/>
            </w:pPr>
            <w:r>
              <w:t xml:space="preserve">2016 </w:t>
            </w:r>
          </w:p>
        </w:tc>
        <w:tc>
          <w:tcPr>
            <w:tcW w:w="1350" w:type="pct"/>
            <w:vAlign w:val="top"/>
          </w:tcPr>
          <w:p w14:paraId="68DCBCAD" w14:textId="77777777" w:rsidR="00577226" w:rsidRPr="00A23F93" w:rsidRDefault="00577226" w:rsidP="0013085F">
            <w:pPr>
              <w:pStyle w:val="Tabletext"/>
              <w:ind w:right="563"/>
              <w:jc w:val="right"/>
            </w:pPr>
            <w:r>
              <w:t xml:space="preserve">10.0 </w:t>
            </w:r>
          </w:p>
        </w:tc>
        <w:tc>
          <w:tcPr>
            <w:tcW w:w="1350" w:type="pct"/>
          </w:tcPr>
          <w:p w14:paraId="773F385F" w14:textId="77777777" w:rsidR="00577226" w:rsidRDefault="00577226" w:rsidP="0013085F">
            <w:pPr>
              <w:pStyle w:val="Tabletext"/>
              <w:ind w:right="563"/>
              <w:jc w:val="right"/>
            </w:pPr>
            <w:r>
              <w:t xml:space="preserve">11.4 </w:t>
            </w:r>
          </w:p>
        </w:tc>
        <w:tc>
          <w:tcPr>
            <w:tcW w:w="1300" w:type="pct"/>
          </w:tcPr>
          <w:p w14:paraId="4F629A8F" w14:textId="77777777" w:rsidR="00577226" w:rsidRPr="00A23F93" w:rsidRDefault="00577226" w:rsidP="0013085F">
            <w:pPr>
              <w:pStyle w:val="Tabletext"/>
              <w:ind w:right="563"/>
              <w:jc w:val="right"/>
            </w:pPr>
            <w:r>
              <w:t>9.1</w:t>
            </w:r>
          </w:p>
        </w:tc>
      </w:tr>
    </w:tbl>
    <w:p w14:paraId="13068EE7" w14:textId="77777777" w:rsidR="005C664A" w:rsidRDefault="005C664A" w:rsidP="00BD7ADB">
      <w:pPr>
        <w:pStyle w:val="BodytextRegular"/>
        <w:spacing w:after="0" w:line="190" w:lineRule="exact"/>
      </w:pPr>
    </w:p>
    <w:p w14:paraId="7DA4F4E1" w14:textId="77777777" w:rsidR="007D25B6" w:rsidRPr="00826685" w:rsidRDefault="00F02638" w:rsidP="007D25B6">
      <w:pPr>
        <w:pStyle w:val="Sourcetext"/>
        <w:rPr>
          <w:b/>
          <w:bCs/>
          <w:sz w:val="19"/>
          <w:szCs w:val="22"/>
        </w:rPr>
      </w:pPr>
      <w:bookmarkStart w:id="2" w:name="_Hlk208599288"/>
      <w:r w:rsidRPr="00F25AB6">
        <w:rPr>
          <w:szCs w:val="16"/>
        </w:rPr>
        <w:t>Source: Schroders, Morningstar, as of 31 March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sidRPr="002061AF">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2"/>
      <w:r w:rsidR="00CF55DA" w:rsidRPr="00EA57CD">
        <w:rPr>
          <w:b/>
          <w:bCs/>
        </w:rPr>
        <w:t xml:space="preserve"> </w:t>
      </w:r>
      <w:r w:rsidR="00CB3320" w:rsidRPr="002D7184">
        <w:t xml:space="preserve">The Fund’s investment universe is expected to overlap materially with the components of the target benchmark. The investment manager invests on a discretionary basis and there are no restrictions on the extent to which the Fund’s portfolio and performance may deviate from the target benchmark. The investment manager will invest in companies or sectors not included in the target benchmark </w:t>
      </w:r>
      <w:proofErr w:type="gramStart"/>
      <w:r w:rsidR="00CB3320" w:rsidRPr="002D7184">
        <w:t>in order to</w:t>
      </w:r>
      <w:proofErr w:type="gramEnd"/>
      <w:r w:rsidR="00CB3320" w:rsidRPr="002D7184">
        <w:t xml:space="preserve"> take advantage of specific investment opportunities.</w:t>
      </w:r>
      <w:r w:rsidR="00CB3320">
        <w:t xml:space="preserve"> </w:t>
      </w:r>
    </w:p>
    <w:p w14:paraId="3C534816" w14:textId="77777777" w:rsidR="002B4FFE" w:rsidRPr="00257058" w:rsidRDefault="002B4FFE" w:rsidP="00257058">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620140A4" w14:textId="77777777" w:rsidR="007F6A85" w:rsidRPr="00642BAB" w:rsidRDefault="007F6A85" w:rsidP="00FF2E39">
      <w:pPr>
        <w:pStyle w:val="Paragraphheaderprussiannavy"/>
        <w:rPr>
          <w:b w:val="0"/>
        </w:rPr>
      </w:pPr>
      <w:r>
        <w:lastRenderedPageBreak/>
        <w:t>P</w:t>
      </w:r>
      <w:r w:rsidRPr="00A23F93">
        <w:t xml:space="preserve">erformance </w:t>
      </w:r>
      <w:r>
        <w:t xml:space="preserve">snapshot </w:t>
      </w:r>
      <w:r w:rsidRPr="00A23F93">
        <w:t>(%)</w:t>
      </w:r>
    </w:p>
    <w:p w14:paraId="6519CCCF" w14:textId="77777777" w:rsidR="007F6A85" w:rsidRDefault="007F6A85" w:rsidP="007F6A85">
      <w:pPr>
        <w:pStyle w:val="Sourcetext"/>
        <w:rPr>
          <w:b/>
          <w:bCs/>
          <w:sz w:val="18"/>
          <w:szCs w:val="18"/>
        </w:rPr>
      </w:pPr>
      <w:r w:rsidRPr="00CE1A02">
        <w:rPr>
          <w:b/>
          <w:bCs/>
          <w:sz w:val="18"/>
          <w:szCs w:val="18"/>
        </w:rPr>
        <w:t>Past performance does not predict future returns.</w:t>
      </w:r>
    </w:p>
    <w:p w14:paraId="29D31D5B" w14:textId="77777777" w:rsidR="00E848AA" w:rsidRDefault="00E848AA" w:rsidP="007F6A85">
      <w:pPr>
        <w:pStyle w:val="Sourcetext"/>
        <w:rPr>
          <w:b/>
          <w:bCs/>
          <w:sz w:val="18"/>
          <w:szCs w:val="18"/>
        </w:rPr>
      </w:pPr>
    </w:p>
    <w:tbl>
      <w:tblPr>
        <w:tblStyle w:val="Table"/>
        <w:tblW w:w="5000" w:type="pct"/>
        <w:tblLook w:val="04A0" w:firstRow="1" w:lastRow="0" w:firstColumn="1" w:lastColumn="0" w:noHBand="0" w:noVBand="1"/>
      </w:tblPr>
      <w:tblGrid>
        <w:gridCol w:w="2532"/>
        <w:gridCol w:w="968"/>
        <w:gridCol w:w="985"/>
        <w:gridCol w:w="921"/>
        <w:gridCol w:w="932"/>
        <w:gridCol w:w="949"/>
        <w:gridCol w:w="949"/>
        <w:gridCol w:w="949"/>
        <w:gridCol w:w="1019"/>
      </w:tblGrid>
      <w:tr w:rsidR="00A9058B" w14:paraId="1E43FCC1" w14:textId="77777777" w:rsidTr="00FB5608">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tcPr>
          <w:p w14:paraId="231A0513" w14:textId="77777777" w:rsidR="00A9058B" w:rsidRDefault="00A9058B" w:rsidP="0013085F">
            <w:pPr>
              <w:pStyle w:val="BodytextRegular"/>
            </w:pPr>
          </w:p>
        </w:tc>
        <w:tc>
          <w:tcPr>
            <w:tcW w:w="1021" w:type="dxa"/>
          </w:tcPr>
          <w:p w14:paraId="38417BA6"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Month</w:t>
            </w:r>
            <w:r w:rsidR="00A9058B">
              <w:t xml:space="preserve"> </w:t>
            </w:r>
          </w:p>
        </w:tc>
        <w:tc>
          <w:tcPr>
            <w:tcW w:w="1021" w:type="dxa"/>
          </w:tcPr>
          <w:p w14:paraId="43316FAA"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Months</w:t>
            </w:r>
            <w:r w:rsidR="00A9058B">
              <w:t xml:space="preserve"> </w:t>
            </w:r>
          </w:p>
        </w:tc>
        <w:tc>
          <w:tcPr>
            <w:tcW w:w="1021" w:type="dxa"/>
          </w:tcPr>
          <w:p w14:paraId="5A9596DC"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YTD</w:t>
            </w:r>
            <w:r w:rsidR="00A9058B">
              <w:t xml:space="preserve"> </w:t>
            </w:r>
          </w:p>
        </w:tc>
        <w:tc>
          <w:tcPr>
            <w:tcW w:w="1021" w:type="dxa"/>
          </w:tcPr>
          <w:p w14:paraId="37C9686A"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 Year</w:t>
            </w:r>
            <w:r w:rsidR="00A9058B">
              <w:t xml:space="preserve"> </w:t>
            </w:r>
          </w:p>
        </w:tc>
        <w:tc>
          <w:tcPr>
            <w:tcW w:w="1021" w:type="dxa"/>
          </w:tcPr>
          <w:p w14:paraId="44B772F7"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3 Years p.a.</w:t>
            </w:r>
            <w:r w:rsidR="00A9058B">
              <w:t xml:space="preserve"> </w:t>
            </w:r>
          </w:p>
        </w:tc>
        <w:tc>
          <w:tcPr>
            <w:tcW w:w="1021" w:type="dxa"/>
          </w:tcPr>
          <w:p w14:paraId="4CC23A02"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5 Years p.a.</w:t>
            </w:r>
            <w:r w:rsidR="00A9058B">
              <w:t xml:space="preserve"> </w:t>
            </w:r>
          </w:p>
        </w:tc>
        <w:tc>
          <w:tcPr>
            <w:tcW w:w="1021" w:type="dxa"/>
          </w:tcPr>
          <w:p w14:paraId="5238351E"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10 Years p.a.</w:t>
            </w:r>
            <w:r w:rsidR="00A9058B">
              <w:t xml:space="preserve"> </w:t>
            </w:r>
          </w:p>
        </w:tc>
        <w:tc>
          <w:tcPr>
            <w:tcW w:w="1021" w:type="dxa"/>
          </w:tcPr>
          <w:p w14:paraId="515AAA4C" w14:textId="77777777" w:rsidR="00A9058B" w:rsidRDefault="00980330" w:rsidP="0013085F">
            <w:pPr>
              <w:pStyle w:val="BodytextRegular"/>
              <w:jc w:val="right"/>
              <w:cnfStyle w:val="100000000000" w:firstRow="1" w:lastRow="0" w:firstColumn="0" w:lastColumn="0" w:oddVBand="0" w:evenVBand="0" w:oddHBand="0" w:evenHBand="0" w:firstRowFirstColumn="0" w:firstRowLastColumn="0" w:lastRowFirstColumn="0" w:lastRowLastColumn="0"/>
            </w:pPr>
            <w:r>
              <w:t>Since Inception</w:t>
            </w:r>
            <w:r w:rsidR="00A9058B">
              <w:t xml:space="preserve"> </w:t>
            </w:r>
          </w:p>
        </w:tc>
      </w:tr>
      <w:tr w:rsidR="00A9058B" w14:paraId="21A36FE1"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3144351B" w14:textId="77777777" w:rsidR="00A9058B" w:rsidRDefault="00DD71EF" w:rsidP="0013085F">
            <w:pPr>
              <w:pStyle w:val="BodytextRegular"/>
            </w:pPr>
            <w:r>
              <w:t xml:space="preserve">Fund A Acc EUR </w:t>
            </w:r>
          </w:p>
        </w:tc>
        <w:tc>
          <w:tcPr>
            <w:tcW w:w="1021" w:type="dxa"/>
          </w:tcPr>
          <w:p w14:paraId="20B6211B"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-2.4 </w:t>
            </w:r>
          </w:p>
        </w:tc>
        <w:tc>
          <w:tcPr>
            <w:tcW w:w="1021" w:type="dxa"/>
          </w:tcPr>
          <w:p w14:paraId="0620C98D"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-1.0 </w:t>
            </w:r>
          </w:p>
        </w:tc>
        <w:tc>
          <w:tcPr>
            <w:tcW w:w="1021" w:type="dxa"/>
          </w:tcPr>
          <w:p w14:paraId="32E0D74D"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-1.0 </w:t>
            </w:r>
          </w:p>
        </w:tc>
        <w:tc>
          <w:tcPr>
            <w:tcW w:w="1021" w:type="dxa"/>
          </w:tcPr>
          <w:p w14:paraId="76B07DD6"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2.6 </w:t>
            </w:r>
          </w:p>
        </w:tc>
        <w:tc>
          <w:tcPr>
            <w:tcW w:w="1021" w:type="dxa"/>
          </w:tcPr>
          <w:p w14:paraId="6BD864EA"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8.2 </w:t>
            </w:r>
          </w:p>
        </w:tc>
        <w:tc>
          <w:tcPr>
            <w:tcW w:w="1021" w:type="dxa"/>
          </w:tcPr>
          <w:p w14:paraId="67A44DAE"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2.6 </w:t>
            </w:r>
          </w:p>
        </w:tc>
        <w:tc>
          <w:tcPr>
            <w:tcW w:w="1021" w:type="dxa"/>
          </w:tcPr>
          <w:p w14:paraId="254502F9"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3.8 </w:t>
            </w:r>
          </w:p>
        </w:tc>
        <w:tc>
          <w:tcPr>
            <w:tcW w:w="1021" w:type="dxa"/>
          </w:tcPr>
          <w:p w14:paraId="638FE079" w14:textId="77777777" w:rsidR="00A9058B" w:rsidRDefault="00A9058B" w:rsidP="0013085F">
            <w:pPr>
              <w:pStyle w:val="BodytextRegular"/>
              <w:jc w:val="right"/>
              <w:cnfStyle w:val="000000100000" w:firstRow="0" w:lastRow="0" w:firstColumn="0" w:lastColumn="0" w:oddVBand="0" w:evenVBand="0" w:oddHBand="1" w:evenHBand="0" w:firstRowFirstColumn="0" w:firstRowLastColumn="0" w:lastRowFirstColumn="0" w:lastRowLastColumn="0"/>
            </w:pPr>
            <w:r>
              <w:t xml:space="preserve">4.4 </w:t>
            </w:r>
          </w:p>
        </w:tc>
      </w:tr>
      <w:tr w:rsidR="00A9058B" w14:paraId="1AF4135C" w14:textId="77777777" w:rsidTr="00FB5608">
        <w:trPr>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1607D020" w14:textId="77777777" w:rsidR="00A9058B" w:rsidRDefault="00DD71EF" w:rsidP="0013085F">
            <w:pPr>
              <w:pStyle w:val="BodytextRegular"/>
            </w:pPr>
            <w:r>
              <w:t xml:space="preserve">Fund I Acc EUR </w:t>
            </w:r>
          </w:p>
        </w:tc>
        <w:tc>
          <w:tcPr>
            <w:tcW w:w="1021" w:type="dxa"/>
          </w:tcPr>
          <w:p w14:paraId="44C816BE"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-2.3</w:t>
            </w:r>
          </w:p>
        </w:tc>
        <w:tc>
          <w:tcPr>
            <w:tcW w:w="1021" w:type="dxa"/>
          </w:tcPr>
          <w:p w14:paraId="4B1D5CED"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-0.7</w:t>
            </w:r>
          </w:p>
        </w:tc>
        <w:tc>
          <w:tcPr>
            <w:tcW w:w="1021" w:type="dxa"/>
          </w:tcPr>
          <w:p w14:paraId="4082CB23"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-0.7</w:t>
            </w:r>
          </w:p>
        </w:tc>
        <w:tc>
          <w:tcPr>
            <w:tcW w:w="1021" w:type="dxa"/>
          </w:tcPr>
          <w:p w14:paraId="74B7CBCA"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3.9</w:t>
            </w:r>
          </w:p>
        </w:tc>
        <w:tc>
          <w:tcPr>
            <w:tcW w:w="1021" w:type="dxa"/>
          </w:tcPr>
          <w:p w14:paraId="4A11E890"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9.6</w:t>
            </w:r>
          </w:p>
        </w:tc>
        <w:tc>
          <w:tcPr>
            <w:tcW w:w="1021" w:type="dxa"/>
          </w:tcPr>
          <w:p w14:paraId="2C13B09C"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3.8</w:t>
            </w:r>
          </w:p>
        </w:tc>
        <w:tc>
          <w:tcPr>
            <w:tcW w:w="1021" w:type="dxa"/>
          </w:tcPr>
          <w:p w14:paraId="0A6B116A"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5.0</w:t>
            </w:r>
          </w:p>
        </w:tc>
        <w:tc>
          <w:tcPr>
            <w:tcW w:w="1021" w:type="dxa"/>
          </w:tcPr>
          <w:p w14:paraId="4887C096" w14:textId="77777777" w:rsidR="00A9058B" w:rsidRDefault="00A9058B" w:rsidP="0013085F">
            <w:pPr>
              <w:pStyle w:val="BodytextRegular"/>
              <w:jc w:val="right"/>
              <w:cnfStyle w:val="000000000000" w:firstRow="0" w:lastRow="0" w:firstColumn="0" w:lastColumn="0" w:oddVBand="0" w:evenVBand="0" w:oddHBand="0" w:evenHBand="0" w:firstRowFirstColumn="0" w:firstRowLastColumn="0" w:lastRowFirstColumn="0" w:lastRowLastColumn="0"/>
            </w:pPr>
            <w:r>
              <w:t>5.7</w:t>
            </w:r>
          </w:p>
        </w:tc>
      </w:tr>
      <w:tr w:rsidR="00A9058B" w14:paraId="6CFD8BEC" w14:textId="77777777" w:rsidTr="00FB560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835" w:type="dxa"/>
            <w:shd w:val="clear" w:color="auto" w:fill="FFFFFF" w:themeFill="background1"/>
          </w:tcPr>
          <w:p w14:paraId="2097743C" w14:textId="77777777" w:rsidR="002947AF" w:rsidRPr="002947AF" w:rsidRDefault="00B83F85" w:rsidP="0013085F">
            <w:pPr>
              <w:pStyle w:val="BodytextRegular"/>
              <w:rPr>
                <w:sz w:val="19"/>
                <w:szCs w:val="22"/>
                <w:vertAlign w:val="superscript"/>
              </w:rPr>
            </w:pPr>
            <w:bookmarkStart w:id="3" w:name="_Hlk214628051"/>
            <w:r>
              <w:rPr>
                <w:szCs w:val="18"/>
              </w:rPr>
              <w:t>Benchmark</w:t>
            </w:r>
            <w:r w:rsidR="002947AF" w:rsidRPr="00B51BAC">
              <w:rPr>
                <w:szCs w:val="18"/>
                <w:vertAlign w:val="superscript"/>
              </w:rPr>
              <w:t>1</w:t>
            </w:r>
            <w:bookmarkEnd w:id="3"/>
          </w:p>
        </w:tc>
        <w:tc>
          <w:tcPr>
            <w:tcW w:w="1021" w:type="dxa"/>
          </w:tcPr>
          <w:p w14:paraId="6D52E408"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-2.7</w:t>
            </w:r>
          </w:p>
        </w:tc>
        <w:tc>
          <w:tcPr>
            <w:tcW w:w="1021" w:type="dxa"/>
          </w:tcPr>
          <w:p w14:paraId="2002F6A0"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-1.7</w:t>
            </w:r>
          </w:p>
        </w:tc>
        <w:tc>
          <w:tcPr>
            <w:tcW w:w="1021" w:type="dxa"/>
          </w:tcPr>
          <w:p w14:paraId="2CBC2B5F"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-1.7</w:t>
            </w:r>
          </w:p>
        </w:tc>
        <w:tc>
          <w:tcPr>
            <w:tcW w:w="1021" w:type="dxa"/>
          </w:tcPr>
          <w:p w14:paraId="49D8ADC8"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2.7</w:t>
            </w:r>
          </w:p>
        </w:tc>
        <w:tc>
          <w:tcPr>
            <w:tcW w:w="1021" w:type="dxa"/>
          </w:tcPr>
          <w:p w14:paraId="188FBC6F"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7.0</w:t>
            </w:r>
          </w:p>
        </w:tc>
        <w:tc>
          <w:tcPr>
            <w:tcW w:w="1021" w:type="dxa"/>
          </w:tcPr>
          <w:p w14:paraId="5D3C9B94"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2.5</w:t>
            </w:r>
          </w:p>
        </w:tc>
        <w:tc>
          <w:tcPr>
            <w:tcW w:w="1021" w:type="dxa"/>
          </w:tcPr>
          <w:p w14:paraId="792971E0"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3.8</w:t>
            </w:r>
          </w:p>
        </w:tc>
        <w:tc>
          <w:tcPr>
            <w:tcW w:w="1021" w:type="dxa"/>
          </w:tcPr>
          <w:p w14:paraId="46029AE8" w14:textId="77777777" w:rsidR="00A9058B" w:rsidRDefault="00905816" w:rsidP="0013085F">
            <w:pPr>
              <w:pStyle w:val="BodytextRegular"/>
              <w:jc w:val="right"/>
              <w:cnfStyle w:val="000000100000" w:firstRow="0" w:lastRow="0" w:firstColumn="0" w:lastColumn="0" w:oddVBand="0" w:evenVBand="0" w:oddHBand="1" w:evenHBand="0" w:firstRowFirstColumn="0" w:firstRowLastColumn="0" w:lastRowFirstColumn="0" w:lastRowLastColumn="0"/>
            </w:pPr>
            <w:r>
              <w:t>4.4</w:t>
            </w:r>
          </w:p>
        </w:tc>
      </w:tr>
    </w:tbl>
    <w:p w14:paraId="55EDCE2D" w14:textId="77777777" w:rsidR="002E1BEB" w:rsidRDefault="002E1BEB" w:rsidP="00754699">
      <w:pPr>
        <w:pStyle w:val="Sourcetext"/>
        <w:spacing w:before="0"/>
        <w:rPr>
          <w:bCs/>
          <w:szCs w:val="18"/>
        </w:rPr>
      </w:pPr>
    </w:p>
    <w:p w14:paraId="1F0B6E7D" w14:textId="77777777" w:rsidR="00FC602F" w:rsidRPr="00EB5C01" w:rsidRDefault="00F02638" w:rsidP="00FC602F">
      <w:pPr>
        <w:pStyle w:val="Sourcetext"/>
        <w:rPr>
          <w:b/>
          <w:bCs/>
          <w:sz w:val="19"/>
          <w:szCs w:val="22"/>
        </w:rPr>
      </w:pPr>
      <w:bookmarkStart w:id="4" w:name="_Hlk208598477"/>
      <w:r w:rsidRPr="00F25AB6">
        <w:rPr>
          <w:szCs w:val="16"/>
        </w:rPr>
        <w:t>Source: Schroders, Morningstar, as of 31 March 2026. Performance shown is based on the currency of the share class shown and is net of fees. Please see factsheet for other share classes. The value of investments and the income from them may go down as well as up and investors may not get back the amount originally invested.</w:t>
      </w:r>
      <w:r>
        <w:rPr>
          <w:szCs w:val="16"/>
        </w:rPr>
        <w:t xml:space="preserve"> </w:t>
      </w:r>
      <w:r w:rsidRPr="00F25AB6">
        <w:rPr>
          <w:b/>
          <w:bCs/>
          <w:szCs w:val="16"/>
        </w:rPr>
        <w:t>Exchange rate changes may cause the value of investments to fall as well as rise.</w:t>
      </w:r>
      <w:r w:rsidRPr="00F25AB6">
        <w:rPr>
          <w:szCs w:val="16"/>
        </w:rPr>
        <w:t xml:space="preserve"> Performance data does not </w:t>
      </w:r>
      <w:proofErr w:type="gramStart"/>
      <w:r w:rsidRPr="00F25AB6">
        <w:rPr>
          <w:szCs w:val="16"/>
        </w:rPr>
        <w:t>take into account</w:t>
      </w:r>
      <w:proofErr w:type="gramEnd"/>
      <w:r w:rsidRPr="00F25AB6">
        <w:rPr>
          <w:szCs w:val="16"/>
        </w:rPr>
        <w:t xml:space="preserve"> any commissions and costs, if any, charged when units or shares of any fund, as applicable, are issued and redeeme</w:t>
      </w:r>
      <w:r w:rsidRPr="002061AF">
        <w:rPr>
          <w:szCs w:val="16"/>
        </w:rPr>
        <w:t>d</w:t>
      </w:r>
      <w:r w:rsidRPr="00826685">
        <w:rPr>
          <w:bCs/>
          <w:szCs w:val="16"/>
        </w:rPr>
        <w:t>.</w:t>
      </w:r>
      <w:bookmarkEnd w:id="4"/>
      <w:r w:rsidR="00856C33" w:rsidRPr="00EB5C01">
        <w:rPr>
          <w:b/>
          <w:bCs/>
        </w:rPr>
        <w:t xml:space="preserve"> </w:t>
      </w:r>
    </w:p>
    <w:p w14:paraId="149A7898" w14:textId="77777777" w:rsidR="002B4FFE" w:rsidRPr="00A7120C" w:rsidRDefault="002B4FFE" w:rsidP="00A7120C">
      <w:pPr>
        <w:pStyle w:val="BodytextRegular"/>
        <w:spacing w:before="60" w:after="0" w:line="190" w:lineRule="exact"/>
        <w:rPr>
          <w:sz w:val="16"/>
          <w:szCs w:val="16"/>
        </w:rPr>
      </w:pPr>
      <w:r w:rsidRPr="00CF4D44">
        <w:rPr>
          <w:sz w:val="16"/>
          <w:szCs w:val="16"/>
          <w:vertAlign w:val="superscript"/>
        </w:rPr>
        <w:t>1</w:t>
      </w:r>
      <w:r>
        <w:rPr>
          <w:sz w:val="16"/>
          <w:szCs w:val="16"/>
        </w:rPr>
        <w:t>Benchmark</w:t>
      </w:r>
      <w:r w:rsidRPr="00CF4D44">
        <w:rPr>
          <w:sz w:val="16"/>
          <w:szCs w:val="16"/>
        </w:rPr>
        <w:t xml:space="preserve"> refers to </w:t>
      </w:r>
      <w:r>
        <w:rPr>
          <w:sz w:val="16"/>
          <w:szCs w:val="16"/>
        </w:rPr>
        <w:t>ICE BofA EUR HY Constnd TR EUR.</w:t>
      </w:r>
    </w:p>
    <w:p w14:paraId="05112821" w14:textId="77777777" w:rsidR="002C423C" w:rsidRPr="00A23F93" w:rsidRDefault="002C423C" w:rsidP="00260CCF">
      <w:pPr>
        <w:pStyle w:val="Paragraphheaderprussiannavy"/>
        <w:tabs>
          <w:tab w:val="right" w:pos="10204"/>
        </w:tabs>
      </w:pPr>
      <w:r w:rsidRPr="00A23F93">
        <w:t>Investment O</w:t>
      </w:r>
      <w:r w:rsidR="00620414">
        <w:t>verview</w:t>
      </w:r>
      <w:r w:rsidR="00260CCF">
        <w:tab/>
      </w:r>
    </w:p>
    <w:p w14:paraId="7E3D2358" w14:textId="77777777" w:rsidR="008C1D82" w:rsidRPr="00E70499" w:rsidRDefault="00FD5917" w:rsidP="00E70499">
      <w:pPr>
        <w:pStyle w:val="BodytextRegular"/>
      </w:pPr>
      <w:r>
        <w:t xml:space="preserve">The fund aims to provide capital growth and income </w:t>
      </w:r>
      <w:proofErr w:type="gramStart"/>
      <w:r>
        <w:t>in excess of</w:t>
      </w:r>
      <w:proofErr w:type="gramEnd"/>
      <w:r>
        <w:t xml:space="preserve"> the ICE BofA EUR HY Constnd TR EUR after fees have been deducted over a three to five year period by investing in sub-investment grade bonds denominated in euro issued by companies worldwide.</w:t>
      </w:r>
      <w:r w:rsidR="00073A5C">
        <w:t xml:space="preserve"> </w:t>
      </w:r>
    </w:p>
    <w:p w14:paraId="0A81F15D" w14:textId="77777777" w:rsidR="00626DB0" w:rsidRPr="00753011" w:rsidRDefault="002C423C" w:rsidP="00753011">
      <w:pPr>
        <w:pStyle w:val="Paragraphheaderprussiannavy"/>
        <w:tabs>
          <w:tab w:val="right" w:pos="10204"/>
        </w:tabs>
      </w:pPr>
      <w:r w:rsidRPr="00753011">
        <w:t>Risk considerations</w:t>
      </w:r>
    </w:p>
    <w:p w14:paraId="36154325" w14:textId="77777777" w:rsidR="00794888" w:rsidRPr="00970DD6" w:rsidRDefault="00794888" w:rsidP="00794888">
      <w:pPr>
        <w:pStyle w:val="BodyText"/>
        <w:spacing w:after="60"/>
        <w:ind w:right="-1"/>
        <w:rPr>
          <w:b/>
          <w:bCs/>
          <w:sz w:val="18"/>
          <w:szCs w:val="18"/>
        </w:rPr>
      </w:pPr>
      <w:r w:rsidRPr="00970DD6">
        <w:rPr>
          <w:b/>
          <w:bCs/>
          <w:sz w:val="18"/>
          <w:szCs w:val="18"/>
        </w:rPr>
        <w:t>Contingent convertible bonds:</w:t>
      </w:r>
      <w:r w:rsidRPr="00970DD6">
        <w:rPr>
          <w:sz w:val="18"/>
          <w:szCs w:val="18"/>
        </w:rPr>
        <w:t xml:space="preserve"> The fund may invest in contingent convertible bonds which are bonds that convert to shares if the bond issuer's financial health deteriorates. A reduction in the financial strength of the issuer may result in losses to the fund.</w:t>
      </w:r>
    </w:p>
    <w:p w14:paraId="68BDAB6B" w14:textId="77777777" w:rsidR="00794888" w:rsidRPr="00970DD6" w:rsidRDefault="00794888" w:rsidP="00794888">
      <w:pPr>
        <w:pStyle w:val="BodyText"/>
        <w:spacing w:after="60"/>
        <w:ind w:right="-1"/>
        <w:rPr>
          <w:b/>
          <w:bCs/>
          <w:sz w:val="18"/>
          <w:szCs w:val="18"/>
        </w:rPr>
      </w:pPr>
      <w:r w:rsidRPr="00970DD6">
        <w:rPr>
          <w:b/>
          <w:bCs/>
          <w:sz w:val="18"/>
          <w:szCs w:val="18"/>
        </w:rPr>
        <w:t>Counterparty risk:</w:t>
      </w:r>
      <w:r w:rsidRPr="00970DD6">
        <w:rPr>
          <w:sz w:val="18"/>
          <w:szCs w:val="18"/>
        </w:rPr>
        <w:t xml:space="preserve"> The fund may have contractual agreements with counterparties. If a counterparty is unable to fulfil their obligations, the sum that they owe to the fund may be lost in part or in whole.</w:t>
      </w:r>
    </w:p>
    <w:p w14:paraId="4F6624ED" w14:textId="77777777" w:rsidR="00794888" w:rsidRPr="00970DD6" w:rsidRDefault="00794888" w:rsidP="00794888">
      <w:pPr>
        <w:pStyle w:val="BodyText"/>
        <w:spacing w:after="60"/>
        <w:ind w:right="-1"/>
        <w:rPr>
          <w:b/>
          <w:bCs/>
          <w:sz w:val="18"/>
          <w:szCs w:val="18"/>
        </w:rPr>
      </w:pPr>
      <w:r w:rsidRPr="00970DD6">
        <w:rPr>
          <w:b/>
          <w:bCs/>
          <w:sz w:val="18"/>
          <w:szCs w:val="18"/>
        </w:rPr>
        <w:t>Credit risk:</w:t>
      </w:r>
      <w:r w:rsidRPr="00970DD6">
        <w:rPr>
          <w:sz w:val="18"/>
          <w:szCs w:val="18"/>
        </w:rPr>
        <w:t xml:space="preserve"> If a borrower of debt provided by the fund or a bond issuer experiences a decline in financial health, their ability to make payments of interest and principal may be affected, which may cause a decline in the value of the fund.</w:t>
      </w:r>
    </w:p>
    <w:p w14:paraId="1CA37802" w14:textId="77777777" w:rsidR="00794888" w:rsidRPr="00970DD6" w:rsidRDefault="00794888" w:rsidP="00794888">
      <w:pPr>
        <w:pStyle w:val="BodyText"/>
        <w:spacing w:after="60"/>
        <w:ind w:right="-1"/>
        <w:rPr>
          <w:b/>
          <w:bCs/>
          <w:sz w:val="18"/>
          <w:szCs w:val="18"/>
        </w:rPr>
      </w:pPr>
      <w:r w:rsidRPr="00970DD6">
        <w:rPr>
          <w:b/>
          <w:bCs/>
          <w:sz w:val="18"/>
          <w:szCs w:val="18"/>
        </w:rPr>
        <w:t>Currency risk:</w:t>
      </w:r>
      <w:r w:rsidRPr="00970DD6">
        <w:rPr>
          <w:sz w:val="18"/>
          <w:szCs w:val="18"/>
        </w:rPr>
        <w:t xml:space="preserve"> If the fund’s investments are denominated in currencies different to the fund’s base currency, the fund may lose value </w:t>
      </w:r>
      <w:proofErr w:type="gramStart"/>
      <w:r w:rsidRPr="00970DD6">
        <w:rPr>
          <w:sz w:val="18"/>
          <w:szCs w:val="18"/>
        </w:rPr>
        <w:t>as a result of</w:t>
      </w:r>
      <w:proofErr w:type="gramEnd"/>
      <w:r w:rsidRPr="00970DD6">
        <w:rPr>
          <w:sz w:val="18"/>
          <w:szCs w:val="18"/>
        </w:rPr>
        <w:t xml:space="preserve"> movements in foreign exchange rates, otherwise known as currency rates. If the investor holds a share class in a different currency to the base currency of the fund, investors may be exposed to losses </w:t>
      </w:r>
      <w:proofErr w:type="gramStart"/>
      <w:r w:rsidRPr="00970DD6">
        <w:rPr>
          <w:sz w:val="18"/>
          <w:szCs w:val="18"/>
        </w:rPr>
        <w:t>as a result of</w:t>
      </w:r>
      <w:proofErr w:type="gramEnd"/>
      <w:r w:rsidRPr="00970DD6">
        <w:rPr>
          <w:sz w:val="18"/>
          <w:szCs w:val="18"/>
        </w:rPr>
        <w:t xml:space="preserve"> movements in currency rates.</w:t>
      </w:r>
    </w:p>
    <w:p w14:paraId="463FAB62" w14:textId="77777777" w:rsidR="00794888" w:rsidRPr="00970DD6" w:rsidRDefault="00794888" w:rsidP="00794888">
      <w:pPr>
        <w:pStyle w:val="BodyText"/>
        <w:spacing w:after="60"/>
        <w:ind w:right="-1"/>
        <w:rPr>
          <w:b/>
          <w:bCs/>
          <w:sz w:val="18"/>
          <w:szCs w:val="18"/>
        </w:rPr>
      </w:pPr>
      <w:r w:rsidRPr="00970DD6">
        <w:rPr>
          <w:b/>
          <w:bCs/>
          <w:sz w:val="18"/>
          <w:szCs w:val="18"/>
        </w:rPr>
        <w:t>Currency risk / hedged share class:</w:t>
      </w:r>
      <w:r w:rsidRPr="00970DD6">
        <w:rPr>
          <w:sz w:val="18"/>
          <w:szCs w:val="18"/>
        </w:rPr>
        <w:t xml:space="preserve"> The currency hedging of the share class may not be fully effective and residual currency exposure may remain. The cost associated with hedging may impact performance and potential gains may be more limited than for unhedged share classes.</w:t>
      </w:r>
    </w:p>
    <w:p w14:paraId="139EB375" w14:textId="77777777" w:rsidR="00794888" w:rsidRPr="00970DD6" w:rsidRDefault="00794888" w:rsidP="00794888">
      <w:pPr>
        <w:pStyle w:val="BodyText"/>
        <w:spacing w:after="60"/>
        <w:ind w:right="-1"/>
        <w:rPr>
          <w:b/>
          <w:bCs/>
          <w:sz w:val="18"/>
          <w:szCs w:val="18"/>
        </w:rPr>
      </w:pPr>
      <w:r w:rsidRPr="00970DD6">
        <w:rPr>
          <w:b/>
          <w:bCs/>
          <w:sz w:val="18"/>
          <w:szCs w:val="18"/>
        </w:rPr>
        <w:t>Derivatives risk:</w:t>
      </w:r>
      <w:r w:rsidRPr="00970DD6">
        <w:rPr>
          <w:sz w:val="18"/>
          <w:szCs w:val="18"/>
        </w:rPr>
        <w:t xml:space="preserve"> Derivatives, which are financial instruments deriving their value from an underlying asset, may be used for investment purposes and/ or to manage the portfolio efficiently. A derivative may not perform as expected, may create losses greater than the cost of the derivative and may result in losses to the fund.</w:t>
      </w:r>
    </w:p>
    <w:p w14:paraId="4A5755B6" w14:textId="77777777" w:rsidR="00794888" w:rsidRPr="00970DD6" w:rsidRDefault="00794888" w:rsidP="00794888">
      <w:pPr>
        <w:pStyle w:val="BodyText"/>
        <w:spacing w:after="60"/>
        <w:ind w:right="-1"/>
        <w:rPr>
          <w:b/>
          <w:bCs/>
          <w:sz w:val="18"/>
          <w:szCs w:val="18"/>
        </w:rPr>
      </w:pPr>
      <w:r w:rsidRPr="00970DD6">
        <w:rPr>
          <w:b/>
          <w:bCs/>
          <w:sz w:val="18"/>
          <w:szCs w:val="18"/>
        </w:rPr>
        <w:t>Event risk:</w:t>
      </w:r>
      <w:r w:rsidRPr="00970DD6">
        <w:rPr>
          <w:sz w:val="18"/>
          <w:szCs w:val="18"/>
        </w:rPr>
        <w:t xml:space="preserve"> The fund will take significant positions on companies involved in mergers, acquisitions, reorganisations and other corporate events. These may not turn out as expected and may result in losses to the fund.</w:t>
      </w:r>
    </w:p>
    <w:p w14:paraId="13800887" w14:textId="77777777" w:rsidR="00794888" w:rsidRPr="00970DD6" w:rsidRDefault="00794888" w:rsidP="00794888">
      <w:pPr>
        <w:pStyle w:val="BodyText"/>
        <w:spacing w:after="60"/>
        <w:ind w:right="-1"/>
        <w:rPr>
          <w:b/>
          <w:bCs/>
          <w:sz w:val="18"/>
          <w:szCs w:val="18"/>
        </w:rPr>
      </w:pPr>
      <w:r w:rsidRPr="00970DD6">
        <w:rPr>
          <w:b/>
          <w:bCs/>
          <w:sz w:val="18"/>
          <w:szCs w:val="18"/>
        </w:rPr>
        <w:t>High yield bond risk:</w:t>
      </w:r>
      <w:r w:rsidRPr="00970DD6">
        <w:rPr>
          <w:sz w:val="18"/>
          <w:szCs w:val="18"/>
        </w:rPr>
        <w:t xml:space="preserve"> High yield bonds (normally lower rated or unrated) generally carry greater market, credit and liquidity risk meaning greater uncertainty of returns.</w:t>
      </w:r>
    </w:p>
    <w:p w14:paraId="31D3DB9D" w14:textId="77777777" w:rsidR="00794888" w:rsidRPr="00970DD6" w:rsidRDefault="00794888" w:rsidP="00794888">
      <w:pPr>
        <w:pStyle w:val="BodyText"/>
        <w:spacing w:after="60"/>
        <w:ind w:right="-1"/>
        <w:rPr>
          <w:b/>
          <w:bCs/>
          <w:sz w:val="18"/>
          <w:szCs w:val="18"/>
        </w:rPr>
      </w:pPr>
      <w:r w:rsidRPr="00970DD6">
        <w:rPr>
          <w:b/>
          <w:bCs/>
          <w:sz w:val="18"/>
          <w:szCs w:val="18"/>
        </w:rPr>
        <w:t>Interest rate risk:</w:t>
      </w:r>
      <w:r w:rsidRPr="00970DD6">
        <w:rPr>
          <w:sz w:val="18"/>
          <w:szCs w:val="18"/>
        </w:rPr>
        <w:t xml:space="preserve"> The fund may lose value as a direct result of interest rate changes.</w:t>
      </w:r>
    </w:p>
    <w:p w14:paraId="279CF532" w14:textId="77777777" w:rsidR="00794888" w:rsidRPr="00970DD6" w:rsidRDefault="00794888" w:rsidP="00794888">
      <w:pPr>
        <w:pStyle w:val="BodyText"/>
        <w:spacing w:after="60"/>
        <w:ind w:right="-1"/>
        <w:rPr>
          <w:b/>
          <w:bCs/>
          <w:sz w:val="18"/>
          <w:szCs w:val="18"/>
        </w:rPr>
      </w:pPr>
      <w:r w:rsidRPr="00970DD6">
        <w:rPr>
          <w:b/>
          <w:bCs/>
          <w:sz w:val="18"/>
          <w:szCs w:val="18"/>
        </w:rPr>
        <w:t>Liquidity risk:</w:t>
      </w:r>
      <w:r w:rsidRPr="00970DD6">
        <w:rPr>
          <w:sz w:val="18"/>
          <w:szCs w:val="18"/>
        </w:rPr>
        <w:t xml:space="preserve"> In difficult market conditions, the fund may not be able to sell a security for full value or at all. This could affect performance and could cause the fund to defer or suspend redemptions of its shares, meaning investors may not be able to have immediate access to their holdings.</w:t>
      </w:r>
    </w:p>
    <w:p w14:paraId="4B774CDD" w14:textId="77777777" w:rsidR="00794888" w:rsidRPr="00970DD6" w:rsidRDefault="00794888" w:rsidP="00794888">
      <w:pPr>
        <w:pStyle w:val="BodyText"/>
        <w:spacing w:after="60"/>
        <w:ind w:right="-1"/>
        <w:rPr>
          <w:b/>
          <w:bCs/>
          <w:sz w:val="18"/>
          <w:szCs w:val="18"/>
        </w:rPr>
      </w:pPr>
      <w:r w:rsidRPr="00970DD6">
        <w:rPr>
          <w:b/>
          <w:bCs/>
          <w:sz w:val="18"/>
          <w:szCs w:val="18"/>
        </w:rPr>
        <w:t>Market risk:</w:t>
      </w:r>
      <w:r w:rsidRPr="00970DD6">
        <w:rPr>
          <w:sz w:val="18"/>
          <w:szCs w:val="18"/>
        </w:rPr>
        <w:t xml:space="preserve"> The value of investments can go up and down and an investor may not get back the amount initially invested.</w:t>
      </w:r>
    </w:p>
    <w:p w14:paraId="3ACCA1FD" w14:textId="77777777" w:rsidR="00794888" w:rsidRPr="00970DD6" w:rsidRDefault="00794888" w:rsidP="00794888">
      <w:pPr>
        <w:pStyle w:val="BodyText"/>
        <w:spacing w:after="60"/>
        <w:ind w:right="-1"/>
        <w:rPr>
          <w:b/>
          <w:bCs/>
          <w:sz w:val="18"/>
          <w:szCs w:val="18"/>
        </w:rPr>
      </w:pPr>
      <w:r w:rsidRPr="00970DD6">
        <w:rPr>
          <w:b/>
          <w:bCs/>
          <w:sz w:val="18"/>
          <w:szCs w:val="18"/>
        </w:rPr>
        <w:t>Operational risk:</w:t>
      </w:r>
      <w:r w:rsidRPr="00970DD6">
        <w:rPr>
          <w:sz w:val="18"/>
          <w:szCs w:val="18"/>
        </w:rPr>
        <w:t xml:space="preserve"> Operational processes, including those related to the safekeeping of assets, may fail.  This may result in losses to the fund.</w:t>
      </w:r>
    </w:p>
    <w:p w14:paraId="576F295F" w14:textId="77777777" w:rsidR="00794888" w:rsidRPr="00970DD6" w:rsidRDefault="00794888" w:rsidP="00794888">
      <w:pPr>
        <w:pStyle w:val="BodyText"/>
        <w:spacing w:after="60"/>
        <w:ind w:right="-1"/>
        <w:rPr>
          <w:b/>
          <w:bCs/>
          <w:sz w:val="18"/>
          <w:szCs w:val="18"/>
        </w:rPr>
      </w:pPr>
      <w:r w:rsidRPr="00970DD6">
        <w:rPr>
          <w:b/>
          <w:bCs/>
          <w:sz w:val="18"/>
          <w:szCs w:val="18"/>
        </w:rPr>
        <w:lastRenderedPageBreak/>
        <w:t>Performance risk:</w:t>
      </w:r>
      <w:r w:rsidRPr="00970DD6">
        <w:rPr>
          <w:sz w:val="18"/>
          <w:szCs w:val="18"/>
        </w:rPr>
        <w:t xml:space="preserve"> Investment objectives express an intended result but there is no guarantee that such a result will be achieved. Depending on market conditions and the macro economic environment, investment objectives may become more difficult to achieve.</w:t>
      </w:r>
    </w:p>
    <w:p w14:paraId="5E92FFC5" w14:textId="77777777" w:rsidR="00794888" w:rsidRPr="00970DD6" w:rsidRDefault="00794888" w:rsidP="00794888">
      <w:pPr>
        <w:pStyle w:val="BodyText"/>
        <w:spacing w:after="60"/>
        <w:ind w:right="-1"/>
        <w:rPr>
          <w:b/>
          <w:bCs/>
          <w:sz w:val="18"/>
          <w:szCs w:val="18"/>
        </w:rPr>
      </w:pPr>
      <w:r w:rsidRPr="00970DD6">
        <w:rPr>
          <w:b/>
          <w:bCs/>
          <w:sz w:val="18"/>
          <w:szCs w:val="18"/>
        </w:rPr>
        <w:t>Sustainability risk:</w:t>
      </w:r>
      <w:r w:rsidRPr="00970DD6">
        <w:rPr>
          <w:sz w:val="18"/>
          <w:szCs w:val="18"/>
        </w:rP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chosen by the investment manager. The fund may invest in companies that do not reflect the beliefs and values of any </w:t>
      </w:r>
      <w:proofErr w:type="gramStart"/>
      <w:r w:rsidRPr="00970DD6">
        <w:rPr>
          <w:sz w:val="18"/>
          <w:szCs w:val="18"/>
        </w:rPr>
        <w:t>particular investor</w:t>
      </w:r>
      <w:proofErr w:type="gramEnd"/>
      <w:r w:rsidRPr="00970DD6">
        <w:rPr>
          <w:sz w:val="18"/>
          <w:szCs w:val="18"/>
        </w:rPr>
        <w:t>.</w:t>
      </w:r>
    </w:p>
    <w:p w14:paraId="486B15BD" w14:textId="77777777" w:rsidR="00953023" w:rsidRDefault="00953023" w:rsidP="001A0473">
      <w:pPr>
        <w:pStyle w:val="Disclaimertext"/>
        <w:pageBreakBefore/>
        <w:spacing w:before="59" w:line="240" w:lineRule="auto"/>
        <w:rPr>
          <w:b/>
          <w:bCs/>
        </w:rPr>
      </w:pPr>
      <w:r w:rsidRPr="00194907">
        <w:rPr>
          <w:b/>
          <w:bCs/>
        </w:rPr>
        <w:t>Important information</w:t>
      </w:r>
    </w:p>
    <w:p w14:paraId="4F2DC016" w14:textId="77777777" w:rsidR="00953023" w:rsidRPr="008302E9" w:rsidRDefault="00B66C15" w:rsidP="001A0473">
      <w:pPr>
        <w:pStyle w:val="Disclaimertext"/>
        <w:spacing w:before="59" w:line="240" w:lineRule="auto"/>
        <w:rPr>
          <w:b/>
          <w:bCs/>
        </w:rPr>
      </w:pPr>
      <w:r>
        <w:rPr>
          <w:b/>
          <w:bCs/>
        </w:rPr>
        <w:t xml:space="preserve">Target audience in Europe: </w:t>
      </w:r>
      <w:r w:rsidRPr="000155C2">
        <w:rPr>
          <w:b/>
          <w:bCs/>
        </w:rPr>
        <w:t>Marketing material for Professional Clients and Qualified Investors only</w:t>
      </w:r>
      <w:r>
        <w:rPr>
          <w:b/>
          <w:bCs/>
        </w:rPr>
        <w:t>.</w:t>
      </w:r>
    </w:p>
    <w:p w14:paraId="292EF053" w14:textId="77777777" w:rsidR="00113154" w:rsidRPr="00113154" w:rsidRDefault="00953023" w:rsidP="00113154">
      <w:pPr>
        <w:pStyle w:val="Disclaimertext"/>
        <w:spacing w:before="59" w:line="240" w:lineRule="auto"/>
      </w:pPr>
      <w:r>
        <w:t>Nothing in this document should be construed as advice and is therefore not a recommendation to buy or sell shares. An investment in Schroder International Selection Fund (the "Company") entails risks, which are fully described in the prospectus.</w:t>
      </w:r>
    </w:p>
    <w:p w14:paraId="08C65BF3" w14:textId="77777777" w:rsidR="00113154" w:rsidRPr="00113154" w:rsidRDefault="00953023" w:rsidP="00113154">
      <w:pPr>
        <w:pStyle w:val="Disclaimertext"/>
        <w:spacing w:before="59" w:line="240" w:lineRule="auto"/>
      </w:pPr>
      <w:r>
        <w:t xml:space="preserve">Subscriptions for shares of the Company can only be made </w:t>
      </w:r>
      <w:proofErr w:type="gramStart"/>
      <w:r>
        <w:t>on the basis of</w:t>
      </w:r>
      <w:proofErr w:type="gramEnd"/>
      <w:r>
        <w:t xml:space="preserve"> its latest Key Information Document (the “KID”) and prospectus, together with the latest audited annual report (and subsequent unaudited semi-annual report, if published), copies of which can be obtained, free of charge, from Schroder Investment Management (Europe) S.A. An investment concerns the acquisition of shares in the Company, and not the underlying assets.</w:t>
      </w:r>
    </w:p>
    <w:p w14:paraId="3CC22ACE" w14:textId="77777777" w:rsidR="00EB7D61" w:rsidRPr="00113154" w:rsidRDefault="00EB7D61" w:rsidP="00EB7D61">
      <w:pPr>
        <w:pStyle w:val="BodyText"/>
        <w:spacing w:before="59" w:after="0"/>
        <w:ind w:right="266"/>
        <w:rPr>
          <w:rFonts w:eastAsia="Times New Roman" w:cs="Arial"/>
          <w:sz w:val="16"/>
          <w:szCs w:val="17"/>
        </w:rPr>
      </w:pPr>
      <w:r w:rsidRPr="00113154">
        <w:rPr>
          <w:rFonts w:eastAsia="Times New Roman" w:cs="Arial"/>
          <w:sz w:val="16"/>
          <w:szCs w:val="17"/>
        </w:rPr>
        <w:t xml:space="preserve">The Company is a Luxembourg-based Société </w:t>
      </w:r>
      <w:proofErr w:type="spellStart"/>
      <w:r w:rsidRPr="00113154">
        <w:rPr>
          <w:rFonts w:eastAsia="Times New Roman" w:cs="Arial"/>
          <w:sz w:val="16"/>
          <w:szCs w:val="17"/>
        </w:rPr>
        <w:t>d'Investissement</w:t>
      </w:r>
      <w:proofErr w:type="spellEnd"/>
      <w:r w:rsidRPr="00113154">
        <w:rPr>
          <w:rFonts w:eastAsia="Times New Roman" w:cs="Arial"/>
          <w:sz w:val="16"/>
          <w:szCs w:val="17"/>
        </w:rPr>
        <w:t xml:space="preserve"> à Capital Variable (SICAV), established for an unlimited period and coordinated </w:t>
      </w:r>
      <w:proofErr w:type="gramStart"/>
      <w:r w:rsidRPr="00113154">
        <w:rPr>
          <w:rFonts w:eastAsia="Times New Roman" w:cs="Arial"/>
          <w:sz w:val="16"/>
          <w:szCs w:val="17"/>
        </w:rPr>
        <w:t>with regard to</w:t>
      </w:r>
      <w:proofErr w:type="gramEnd"/>
      <w:r w:rsidRPr="00113154">
        <w:rPr>
          <w:rFonts w:eastAsia="Times New Roman" w:cs="Arial"/>
          <w:sz w:val="16"/>
          <w:szCs w:val="17"/>
        </w:rPr>
        <w:t xml:space="preserve"> the European regulations and meets the criteria for Undertakings for Collective Investment in Transferable Securities (UCITS).</w:t>
      </w:r>
    </w:p>
    <w:p w14:paraId="7FF0FD25" w14:textId="77777777" w:rsidR="00EB7D61" w:rsidRPr="00EB7D61" w:rsidRDefault="00EB7D61" w:rsidP="00113154">
      <w:pPr>
        <w:pStyle w:val="BodyText"/>
        <w:spacing w:before="59" w:after="0"/>
        <w:ind w:right="266"/>
        <w:rPr>
          <w:rFonts w:eastAsia="Times New Roman" w:cs="Arial"/>
          <w:sz w:val="16"/>
          <w:szCs w:val="17"/>
        </w:rPr>
      </w:pPr>
      <w:r w:rsidRPr="00113154">
        <w:rPr>
          <w:rFonts w:eastAsia="Times New Roman" w:cs="Arial"/>
          <w:sz w:val="16"/>
          <w:szCs w:val="17"/>
        </w:rPr>
        <w:t xml:space="preserve">The KIIDs are available in Bulgarian, Czech, Danish, Dutch, English, French, Finnish, German, Greek, Hungarian, Icelandic, Latvian, Lithuanian, Norwegian, Polish, Portuguese, Romanian, Slovakian, Spanish and Swedish, and the prospectus are available in English, Flemish, French, German, Spanish, free of charge at www.eifs.lu/schroders. The availability of KIIDs in the </w:t>
      </w:r>
      <w:proofErr w:type="gramStart"/>
      <w:r w:rsidRPr="00113154">
        <w:rPr>
          <w:rFonts w:eastAsia="Times New Roman" w:cs="Arial"/>
          <w:sz w:val="16"/>
          <w:szCs w:val="17"/>
        </w:rPr>
        <w:t>aforementioned languages</w:t>
      </w:r>
      <w:proofErr w:type="gramEnd"/>
      <w:r w:rsidRPr="00113154">
        <w:rPr>
          <w:rFonts w:eastAsia="Times New Roman" w:cs="Arial"/>
          <w:sz w:val="16"/>
          <w:szCs w:val="17"/>
        </w:rPr>
        <w:t xml:space="preserve"> is subject to the registration of the fund in the respective jurisdiction.</w:t>
      </w:r>
    </w:p>
    <w:p w14:paraId="5B2C6C40" w14:textId="77777777" w:rsidR="00A5681A" w:rsidRPr="00A5681A" w:rsidRDefault="00A5681A" w:rsidP="00113154">
      <w:pPr>
        <w:pStyle w:val="BodyText"/>
        <w:spacing w:before="59" w:after="0"/>
        <w:ind w:right="266"/>
        <w:rPr>
          <w:sz w:val="16"/>
          <w:szCs w:val="16"/>
        </w:rPr>
      </w:pPr>
      <w:r w:rsidRPr="00953023">
        <w:rPr>
          <w:b/>
          <w:sz w:val="16"/>
          <w:szCs w:val="16"/>
        </w:rPr>
        <w:t xml:space="preserve">For Middle East, </w:t>
      </w:r>
      <w:proofErr w:type="gramStart"/>
      <w:r w:rsidRPr="00953023">
        <w:rPr>
          <w:bCs/>
          <w:sz w:val="16"/>
          <w:szCs w:val="16"/>
        </w:rPr>
        <w:t>This</w:t>
      </w:r>
      <w:proofErr w:type="gramEnd"/>
      <w:r w:rsidRPr="00953023">
        <w:rPr>
          <w:bCs/>
          <w:sz w:val="16"/>
          <w:szCs w:val="16"/>
        </w:rPr>
        <w:t xml:space="preserve"> document is intended only for professional investors who may receive it in compliance with applicable laws and regulations. This document is not intended for any professional investors in any jurisdiction where it is not permitted in accordance with applicable laws or regulations. Professional investors are as defined by laws and regulations applicable in each jurisdiction and may be defined as sophisticated investors. This document is not intended to be a financial promotion. Distributed by Schroder Investment Management Limited, located in Office 506, Level 5, Precinct Building 5, Dubai International Financial Centre, PO Box 506612 Dubai, United Arab Emirates. Regulated by the Dubai Financial Services Authority. This document is not subject to any form of approval by the DFSA. Accordingly, the DFSA has not approved any associated documents nor taken any steps to verify the information and has no responsibility for it.</w:t>
      </w:r>
    </w:p>
    <w:p w14:paraId="5241BE2C" w14:textId="77777777" w:rsidR="00AE2251" w:rsidRPr="00953023" w:rsidRDefault="00B73084" w:rsidP="001A0473">
      <w:pPr>
        <w:pStyle w:val="BodyText"/>
        <w:spacing w:before="59" w:after="0"/>
        <w:ind w:right="266"/>
        <w:rPr>
          <w:sz w:val="16"/>
          <w:szCs w:val="16"/>
        </w:rPr>
      </w:pPr>
      <w:r w:rsidRPr="00953023">
        <w:rPr>
          <w:b/>
          <w:sz w:val="16"/>
          <w:szCs w:val="16"/>
        </w:rPr>
        <w:t xml:space="preserve">For United Arab Emirates, </w:t>
      </w:r>
      <w:proofErr w:type="gramStart"/>
      <w:r w:rsidRPr="00953023">
        <w:rPr>
          <w:bCs/>
          <w:sz w:val="16"/>
          <w:szCs w:val="16"/>
        </w:rPr>
        <w:t>This</w:t>
      </w:r>
      <w:proofErr w:type="gramEnd"/>
      <w:r w:rsidRPr="00953023">
        <w:rPr>
          <w:bCs/>
          <w:sz w:val="16"/>
          <w:szCs w:val="16"/>
        </w:rPr>
        <w:t xml:space="preserve"> document, and the information contained herein, does not constitute, and is not intended to constitute, a public offer of securities to the retail investors in the UAE and accordingly should not be construed as such. No regulatory authority in the UAE has any responsibility for reviewing or verifying this prospectus or any other documents in connection with the promotion of this fund. Accordingly, no regulatory authority in the UAE has approved the prospectus or any other associated documents, nor taken any steps to verify the information set out herein, and therefore no regulatory authority in the UAE has any responsibility for the same. The interests in the fund(s) (“Interests”) mentioned in the document may be illiquid and/or subject to restrictions on their resale. Prospective purchasers should conduct their own due diligence on the Interests. Anyone not understanding the contents of this document should consult an authorised financial adviser. Distributed by Schroder Investment Management Limited (Dubai Branch), located on Level 5, Office 506, Precinct Building 5, Dubai International Financial Centre, PO Box 506612, Dubai, United Arab Emirates and regulated by the Dubai Financial Services Authority (DFSA) and entered on the DFSA register under Firm Reference Number: F000513. This document is not subject to any form of regulation or approval by the DFSA. The DFSA has no responsibility for reviewing or verifying any document in connection with the contents.</w:t>
      </w:r>
    </w:p>
    <w:p w14:paraId="3F297F8B" w14:textId="77777777" w:rsidR="00AE2251" w:rsidRPr="00953023" w:rsidRDefault="00B73084" w:rsidP="001A0473">
      <w:pPr>
        <w:pStyle w:val="BodyText"/>
        <w:spacing w:before="59" w:after="0"/>
        <w:ind w:right="266"/>
        <w:rPr>
          <w:sz w:val="16"/>
          <w:szCs w:val="16"/>
        </w:rPr>
      </w:pPr>
      <w:r w:rsidRPr="00953023">
        <w:rPr>
          <w:b/>
          <w:sz w:val="16"/>
          <w:szCs w:val="16"/>
        </w:rPr>
        <w:t xml:space="preserve">For Switzerland, </w:t>
      </w:r>
      <w:r w:rsidRPr="00953023">
        <w:rPr>
          <w:bCs/>
          <w:sz w:val="16"/>
          <w:szCs w:val="16"/>
        </w:rPr>
        <w:t>Schroder Investment Management (Switzerland) AG is the Swiss representative (Swiss Representative)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p>
    <w:p w14:paraId="360EBE01" w14:textId="77777777" w:rsidR="00AE2251" w:rsidRPr="00953023" w:rsidRDefault="00B73084" w:rsidP="001A0473">
      <w:pPr>
        <w:pStyle w:val="BodyText"/>
        <w:spacing w:before="59" w:after="0"/>
        <w:ind w:right="266"/>
        <w:rPr>
          <w:sz w:val="16"/>
          <w:szCs w:val="16"/>
        </w:rPr>
      </w:pPr>
      <w:r w:rsidRPr="00953023">
        <w:rPr>
          <w:b/>
          <w:sz w:val="16"/>
          <w:szCs w:val="16"/>
        </w:rPr>
        <w:t xml:space="preserve">For Chile, </w:t>
      </w:r>
      <w:proofErr w:type="gramStart"/>
      <w:r w:rsidRPr="00953023">
        <w:rPr>
          <w:bCs/>
          <w:sz w:val="16"/>
          <w:szCs w:val="16"/>
        </w:rPr>
        <w:t>This</w:t>
      </w:r>
      <w:proofErr w:type="gramEnd"/>
      <w:r w:rsidRPr="00953023">
        <w:rPr>
          <w:bCs/>
          <w:sz w:val="16"/>
          <w:szCs w:val="16"/>
        </w:rPr>
        <w:t xml:space="preserve"> is only addressed to intermediaries. The Financial Market Commission ("CMF") does not express any opinion on the quality of the securities offered as an investment. The information contained in this document is the sole responsibility of the issuer and the intermediaries that have participated in its preparation. Likewise, the securities referred to in this document are foreign. Shareholder rights and obligations are those of the issuer’s home jurisdiction. Shareholders and potential investors should inform themselves on what those rights and obligations are and how to exercise them; and CMF supervision of the securities is limited to information requirements in Rule 352, overall supervision is conducted by the foreign regulator in the issuer’s home jurisdiction. Public information available for the securities is exclusively that required by the foreign regulator and accounting principles and auditing rules might differ to those applicable to Chilean issuers. The provisions on Article 196 of Law 18.045 are applicable to all parties involved in the registration, deposit, transaction and other acts associated with the foreign securities ruled by Title XXIV of Law 18.045. Investors may obtain more information on the CMF website.</w:t>
      </w:r>
    </w:p>
    <w:p w14:paraId="6E9C0347" w14:textId="77777777" w:rsidR="00AE2251" w:rsidRPr="00953023" w:rsidRDefault="00B73084" w:rsidP="001A0473">
      <w:pPr>
        <w:pStyle w:val="BodyText"/>
        <w:spacing w:before="59" w:after="0"/>
        <w:ind w:right="266"/>
        <w:rPr>
          <w:sz w:val="16"/>
          <w:szCs w:val="16"/>
        </w:rPr>
      </w:pPr>
      <w:r w:rsidRPr="00953023">
        <w:rPr>
          <w:b/>
          <w:sz w:val="16"/>
          <w:szCs w:val="16"/>
        </w:rPr>
        <w:t xml:space="preserve">For Spain, </w:t>
      </w:r>
      <w:r w:rsidRPr="00953023">
        <w:rPr>
          <w:bCs/>
          <w:sz w:val="16"/>
          <w:szCs w:val="16"/>
        </w:rPr>
        <w:t xml:space="preserve">The Company is registered in the Administrative Register of Foreign Collective Investment Institutions marketed in Spain of the National Securities Market Commission (CNMV), with the number 135. Its depository is J.P. Morgan </w:t>
      </w:r>
      <w:proofErr w:type="gramStart"/>
      <w:r w:rsidRPr="00953023">
        <w:rPr>
          <w:bCs/>
          <w:sz w:val="16"/>
          <w:szCs w:val="16"/>
        </w:rPr>
        <w:t>SE</w:t>
      </w:r>
      <w:proofErr w:type="gramEnd"/>
      <w:r w:rsidRPr="00953023">
        <w:rPr>
          <w:bCs/>
          <w:sz w:val="16"/>
          <w:szCs w:val="16"/>
        </w:rPr>
        <w:t xml:space="preserve"> and its management company is Schroder Investment Management (Europe) </w:t>
      </w:r>
      <w:proofErr w:type="gramStart"/>
      <w:r w:rsidRPr="00953023">
        <w:rPr>
          <w:bCs/>
          <w:sz w:val="16"/>
          <w:szCs w:val="16"/>
        </w:rPr>
        <w:t>S.A..</w:t>
      </w:r>
      <w:proofErr w:type="gramEnd"/>
      <w:r w:rsidRPr="00953023">
        <w:rPr>
          <w:bCs/>
          <w:sz w:val="16"/>
          <w:szCs w:val="16"/>
        </w:rPr>
        <w:t xml:space="preserve"> The Company is a UCITS registered in Luxembourg.</w:t>
      </w:r>
    </w:p>
    <w:p w14:paraId="7236AF9A" w14:textId="77777777" w:rsidR="00AE2251" w:rsidRPr="00953023" w:rsidRDefault="00B73084" w:rsidP="001A0473">
      <w:pPr>
        <w:pStyle w:val="BodyText"/>
        <w:spacing w:before="59" w:after="0"/>
        <w:ind w:right="266"/>
        <w:rPr>
          <w:sz w:val="16"/>
          <w:szCs w:val="16"/>
        </w:rPr>
      </w:pPr>
      <w:r w:rsidRPr="00953023">
        <w:rPr>
          <w:b/>
          <w:sz w:val="16"/>
          <w:szCs w:val="16"/>
        </w:rPr>
        <w:t xml:space="preserve">For the UK, </w:t>
      </w:r>
      <w:proofErr w:type="gramStart"/>
      <w:r w:rsidRPr="00953023">
        <w:rPr>
          <w:bCs/>
          <w:sz w:val="16"/>
          <w:szCs w:val="16"/>
        </w:rPr>
        <w:t>The</w:t>
      </w:r>
      <w:proofErr w:type="gramEnd"/>
      <w:r w:rsidRPr="00953023">
        <w:rPr>
          <w:bCs/>
          <w:sz w:val="16"/>
          <w:szCs w:val="16"/>
        </w:rPr>
        <w:t xml:space="preserve"> prospectus and KIIDs are available in English at https://www.schroders.com/en-gb/uk/individual/fund-centre/. This product is based overseas and is not subject to UK sustainable investment labelling and disclosure requirements.</w:t>
      </w:r>
    </w:p>
    <w:p w14:paraId="36FBAE0B" w14:textId="77777777" w:rsidR="00AE2251" w:rsidRPr="00953023" w:rsidRDefault="00B73084" w:rsidP="001A0473">
      <w:pPr>
        <w:pStyle w:val="BodyText"/>
        <w:spacing w:before="59" w:after="0"/>
        <w:ind w:right="266"/>
        <w:rPr>
          <w:sz w:val="16"/>
          <w:szCs w:val="16"/>
        </w:rPr>
      </w:pPr>
      <w:r w:rsidRPr="00953023">
        <w:rPr>
          <w:b/>
          <w:sz w:val="16"/>
          <w:szCs w:val="16"/>
        </w:rPr>
        <w:t xml:space="preserve">For Italy, </w:t>
      </w:r>
      <w:proofErr w:type="gramStart"/>
      <w:r w:rsidRPr="00953023">
        <w:rPr>
          <w:bCs/>
          <w:sz w:val="16"/>
          <w:szCs w:val="16"/>
        </w:rPr>
        <w:t>The</w:t>
      </w:r>
      <w:proofErr w:type="gramEnd"/>
      <w:r w:rsidRPr="00953023">
        <w:rPr>
          <w:bCs/>
          <w:sz w:val="16"/>
          <w:szCs w:val="16"/>
        </w:rPr>
        <w:t xml:space="preserve"> prospectus and KIIDs are available in Italian, free of charge, from Schroder Investment Management (Europe) S.A., Via Manzoni 5, 20121 Milan and from our distributors.</w:t>
      </w:r>
    </w:p>
    <w:p w14:paraId="7050A2A7" w14:textId="77777777" w:rsidR="00AE2251" w:rsidRPr="00953023" w:rsidRDefault="00B73084" w:rsidP="001A0473">
      <w:pPr>
        <w:pStyle w:val="BodyText"/>
        <w:spacing w:before="59" w:after="0"/>
        <w:ind w:right="266"/>
        <w:rPr>
          <w:sz w:val="16"/>
          <w:szCs w:val="16"/>
        </w:rPr>
      </w:pPr>
      <w:r w:rsidRPr="00953023">
        <w:rPr>
          <w:b/>
          <w:sz w:val="16"/>
          <w:szCs w:val="16"/>
        </w:rPr>
        <w:t xml:space="preserve">For South Korea, </w:t>
      </w:r>
      <w:proofErr w:type="gramStart"/>
      <w:r w:rsidRPr="00953023">
        <w:rPr>
          <w:bCs/>
          <w:sz w:val="16"/>
          <w:szCs w:val="16"/>
        </w:rPr>
        <w:t>This</w:t>
      </w:r>
      <w:proofErr w:type="gramEnd"/>
      <w:r w:rsidRPr="00953023">
        <w:rPr>
          <w:bCs/>
          <w:sz w:val="16"/>
          <w:szCs w:val="16"/>
        </w:rPr>
        <w:t xml:space="preserve"> material is intended solely for Qualified Professional Investors (QPIs) and is provided for informational purposes only. It does </w:t>
      </w:r>
      <w:proofErr w:type="gramStart"/>
      <w:r w:rsidRPr="00953023">
        <w:rPr>
          <w:bCs/>
          <w:sz w:val="16"/>
          <w:szCs w:val="16"/>
        </w:rPr>
        <w:t>not  constitute</w:t>
      </w:r>
      <w:proofErr w:type="gramEnd"/>
      <w:r w:rsidRPr="00953023">
        <w:rPr>
          <w:bCs/>
          <w:sz w:val="16"/>
          <w:szCs w:val="16"/>
        </w:rPr>
        <w:t xml:space="preserve"> any solicitation or offering of investment products. These investment products are not protected by Depositor Protection Laws, and neither party provides any guarantee of principal or investment performance. Investment involves risk, including the potential for partial or total loss (0~100%) of principal due to market volatility and other factors. Investors are solely responsible for any investment losses. Exchange rate fluctuations may affect the value of overseas investments, potentially resulting in principal loss. Past performance and forecasts are not indicative of future results. Additional fees and expenses, such as transaction costs, may apply. Investors have the right to receive a full explanation of these investment products from their distributor. It is imperative that investors carefully read the relevant offering documents, which provide details on investment objectives, risks, redemption procedures, fees, and other important matters, before making an investment decision.</w:t>
      </w:r>
    </w:p>
    <w:p w14:paraId="607CC585" w14:textId="77777777" w:rsidR="004F4526" w:rsidRDefault="00302C26" w:rsidP="001A0473">
      <w:pPr>
        <w:pStyle w:val="Disclaimertext"/>
        <w:spacing w:before="59" w:line="240" w:lineRule="auto"/>
      </w:pPr>
      <w:r>
        <w:rPr>
          <w:b/>
          <w:bCs/>
        </w:rPr>
        <w:t xml:space="preserve">For Singapore, </w:t>
      </w:r>
      <w:proofErr w:type="gramStart"/>
      <w:r w:rsidR="004F4526">
        <w:t>The</w:t>
      </w:r>
      <w:proofErr w:type="gramEnd"/>
      <w:r w:rsidR="004F4526">
        <w:t xml:space="preserve"> offer or invitation of the shares of this fund (the “Shares”), a sub-fund of Schroder International Selection Fund, does not relate to a collective investment scheme which is authorised under Section 286 of the Securities and Futures Act 2001 of Singapore (the “SFA”) or recognised under Section 287 of the SFA. This fund is not authorised or recognised by the Monetary Authority of Singapore (the “MAS”) and the Shares are not allowed to be offered to the retail public. This document and/or any other document or material issued in connection with the offer or sale is not a prospectus as defined in SFA and accordingly, statutory liability under the SFA in relation to the content of the prospectuses does not apply, and you should consider carefully whether the investment is suitable for you. </w:t>
      </w:r>
      <w:r w:rsidR="004F4526">
        <w:br/>
        <w:t xml:space="preserve">This document and/or any other document or material has not been registered as a prospectus with the MAS. Accordingly, this document and any other document or material in connection with the offer or sale, or invitation for subscription or purchase, of Shares may not be circulated or distributed, nor may Shares be offered or sold, or be made the subject of an invitation for subscription or purchase, whether directly or indirectly, to persons in Singapore other than: </w:t>
      </w:r>
      <w:r w:rsidR="004F4526">
        <w:br/>
        <w:t>(i) to an institutional investor (as defined in the SFA) under Section 304 of the SFA;</w:t>
      </w:r>
      <w:r w:rsidR="004F4526">
        <w:br/>
        <w:t>(ii) to a relevant person (as defined in Section 305(5) of the SFA) pursuant to Section 305(1), or any person pursuant to Section 305(2), and in accordance with the conditions specified in Section 305 of the Act, and where applicable, the conditions specified in Regulation 3 of the Securities and Futures (Classes of Investors) Regulations 2018; or</w:t>
      </w:r>
      <w:r w:rsidR="004F4526">
        <w:br/>
        <w:t xml:space="preserve">(iii) otherwise pursuant to, and in accordance with the conditions of, any other applicable provision of the SFA. </w:t>
      </w:r>
      <w:r w:rsidR="004F4526">
        <w:br/>
      </w:r>
      <w:r w:rsidR="004F4526">
        <w:br/>
        <w:t>Where Shares are subscribed or purchased under Section 305 of the SFA by a relevant person which is:</w:t>
      </w:r>
      <w:r w:rsidR="004F4526">
        <w:br/>
      </w:r>
      <w:r w:rsidR="004F4526">
        <w:br/>
        <w:t xml:space="preserve">(a) a corporation (which is not an accredited investor (as defined in the SFA)) the sole business of which is to hold investments and the entire share capital of which is owned by one or more individuals, each of whom is an accredited investor; </w:t>
      </w:r>
      <w:r w:rsidR="004F4526">
        <w:br/>
        <w:t xml:space="preserve">or </w:t>
      </w:r>
      <w:r w:rsidR="004F4526">
        <w:br/>
        <w:t xml:space="preserve">(b) a trust (where the trustee is not an accredited investor) whose sole purpose is to hold investments and each beneficiary of the trust is an individual who is an accredited investor, </w:t>
      </w:r>
      <w:r w:rsidR="004F4526">
        <w:br/>
        <w:t xml:space="preserve">securities (as defined in Section 2(1) of the SFA) of that corporation or the beneficiaries’ rights and interest (howsoever described) in that trust shall not be transferred within six months after that corporation or that trust has acquired the Shares pursuant to an offer made under Section 305 of the SFA except: </w:t>
      </w:r>
      <w:r w:rsidR="004F4526">
        <w:br/>
        <w:t xml:space="preserve">(1) to an institutional investor or to a relevant person, or to any person arising from an offer referred to in Section 275(1A) or Section 305A(3)(c)(ii) of the SFA; </w:t>
      </w:r>
      <w:r w:rsidR="004F4526">
        <w:br/>
        <w:t xml:space="preserve">(2) where no consideration is or will be given for the transfer; </w:t>
      </w:r>
      <w:r w:rsidR="004F4526">
        <w:br/>
        <w:t>(3) where the transfer is by operation of law;</w:t>
      </w:r>
      <w:r w:rsidR="004F4526">
        <w:br/>
        <w:t xml:space="preserve">(4) as specified in Section 305A(5) of the SFA; or </w:t>
      </w:r>
      <w:r w:rsidR="004F4526">
        <w:br/>
        <w:t xml:space="preserve">(5) as specified in Regulation 36A of the Securities and Futures (Offers of Investments) (Collective Investment Schemes) Regulations 2005 of Singapore. </w:t>
      </w:r>
      <w:r w:rsidR="004F4526">
        <w:br/>
      </w:r>
      <w:r w:rsidR="004F4526">
        <w:br/>
        <w:t xml:space="preserve">The Shares are capital market products other than prescribed capital markets products (as defined in the Securities and Futures (Capital Markets Products) Regulations 2018) and Specified Investment Products (as defined in MAS Notice SFA 04- N12: Notice on the Sale of Investment Products and MAS Notice FAA-N16: Notice on Recommendations on Investment Products). </w:t>
      </w:r>
      <w:r w:rsidR="004F4526">
        <w:br/>
      </w:r>
      <w:r w:rsidR="004F4526">
        <w:br/>
        <w:t xml:space="preserve">The information contained herein is provided for information purposes only and does not constitute an offer to sell or the solicitation of an offer to buy units/shares in the fund. No representations or warranties are given as to the reliability, accuracy and completeness of the information. The information contained herein is subject to change without notice. As a result, you should check the accuracy of such information before relying on it. Schroders (and its officers or employees) accepts no liability for any damage or loss, including loss of profit, whether direct, indirect or consequential in respect of the use or reliance of any information contained herein and whether arising </w:t>
      </w:r>
      <w:proofErr w:type="gramStart"/>
      <w:r w:rsidR="004F4526">
        <w:t>as a result of</w:t>
      </w:r>
      <w:proofErr w:type="gramEnd"/>
      <w:r w:rsidR="004F4526">
        <w:t xml:space="preserve"> Schroders' negligence or otherwise. </w:t>
      </w:r>
      <w:r w:rsidR="004F4526">
        <w:br/>
      </w:r>
      <w:r w:rsidR="004F4526">
        <w:br/>
        <w:t xml:space="preserve">Nothing herein constitutes investment advice or recommendation in respect of the purchase of or switching of units in the fund. The information herein was prepared without regard to the specific objectives, financial situation or needs of any </w:t>
      </w:r>
      <w:proofErr w:type="gramStart"/>
      <w:r w:rsidR="004F4526">
        <w:t>particular person</w:t>
      </w:r>
      <w:proofErr w:type="gramEnd"/>
      <w:r w:rsidR="004F4526">
        <w:t xml:space="preserve"> who may receive it. The information contained herein should not be relied upon when making investment decisions. You should seek independent financial, legal or tax advice before making any investment decisions. A copy of the prospectus or offering document is available and may be obtained from Schroder Investment Management (Singapore) Ltd and its appointed distributors. Investors should read the prospectus/offering document before deciding to invest. The value of units/shares and the income from them may fall as well as rise. Past performance figures, and any economic and market trends or forecast, are not necessarily indicative of future performance of the fund. An investment in the fund is subject to investment risks, including the possible loss of the principal amount invested. Units/shares in the fund are not obligations of, deposits in, or guaranteed by, Schroders or any of its affiliates. Funds may carry a sales charge of up to 5%.</w:t>
      </w:r>
      <w:r w:rsidR="004F4526">
        <w:br/>
        <w:t xml:space="preserve">Schroder Investment Management (Singapore) Ltd </w:t>
      </w:r>
      <w:r w:rsidR="004F4526">
        <w:br/>
        <w:t>138 Market Street #23-01 CapitaGreen Singapore 048946</w:t>
      </w:r>
      <w:r w:rsidR="004F4526">
        <w:br/>
        <w:t xml:space="preserve">Telephone: 1800 534 4288 Fax: +65 6536 6626 </w:t>
      </w:r>
      <w:r w:rsidR="004F4526">
        <w:br/>
        <w:t>Registration No.: 199201080H</w:t>
      </w:r>
    </w:p>
    <w:p w14:paraId="2DB26C0A" w14:textId="77777777" w:rsidR="00194907" w:rsidRPr="00A23F93" w:rsidRDefault="00310EDC" w:rsidP="001A0473">
      <w:pPr>
        <w:pStyle w:val="Disclaimertext"/>
        <w:spacing w:before="59" w:line="240" w:lineRule="auto"/>
      </w:pPr>
      <w:r>
        <w:t>The fund has environmental and/or social characteristics within the meaning of Article 8 of Regulation (EU) 2019/2088 on Sustainability-related Disclosures in the Financial Services Sector (the “SFDR”). For information on sustainability-related aspects of this fund please go to www.schroders.com</w:t>
      </w:r>
    </w:p>
    <w:p w14:paraId="30E7849D" w14:textId="77777777" w:rsidR="00194907" w:rsidRPr="00A23F93" w:rsidRDefault="00310EDC" w:rsidP="001A0473">
      <w:pPr>
        <w:pStyle w:val="Disclaimertext"/>
        <w:spacing w:before="59" w:line="240" w:lineRule="auto"/>
      </w:pPr>
      <w:r>
        <w:t>Any reference to regions/ countries/ sectors/ stocks/ securities is for illustrative purposes only and not a recommendation to buy or sell any financial instruments or adopt a specific investment strategy.</w:t>
      </w:r>
    </w:p>
    <w:p w14:paraId="3CD751BA" w14:textId="77777777" w:rsidR="00194907" w:rsidRPr="00A23F93" w:rsidRDefault="00310EDC" w:rsidP="001A0473">
      <w:pPr>
        <w:pStyle w:val="Disclaimertext"/>
        <w:spacing w:before="59" w:line="240" w:lineRule="auto"/>
      </w:pPr>
      <w:r>
        <w:t xml:space="preserve">Schroders may decide to cease the distribution of any fund(s) in any EEA country at any </w:t>
      </w:r>
      <w:proofErr w:type="gramStart"/>
      <w:r>
        <w:t>time</w:t>
      </w:r>
      <w:proofErr w:type="gramEnd"/>
      <w:r>
        <w:t xml:space="preserve"> but we will publish our intention to do so on our website, in line with applicable regulatory requirements.</w:t>
      </w:r>
    </w:p>
    <w:p w14:paraId="2B672C7B" w14:textId="77777777" w:rsidR="00970DD6" w:rsidRDefault="00C83FDE" w:rsidP="00C83FDE">
      <w:pPr>
        <w:pStyle w:val="Disclaimertext"/>
        <w:tabs>
          <w:tab w:val="left" w:pos="4080"/>
        </w:tabs>
        <w:spacing w:before="59" w:line="240" w:lineRule="auto"/>
      </w:pPr>
      <w:r w:rsidRPr="00970DD6">
        <w:rPr>
          <w:b/>
          <w:bCs/>
        </w:rPr>
        <w:t>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w:t>
      </w:r>
      <w:r>
        <w:tab/>
      </w:r>
    </w:p>
    <w:p w14:paraId="30223158" w14:textId="77777777" w:rsidR="00C83FDE" w:rsidRDefault="00C83FDE" w:rsidP="00C83FDE">
      <w:pPr>
        <w:pStyle w:val="Disclaimertext"/>
        <w:spacing w:before="59" w:line="240" w:lineRule="auto"/>
        <w:rPr>
          <w:rFonts w:eastAsiaTheme="minorHAnsi" w:cstheme="minorBidi"/>
          <w:sz w:val="19"/>
          <w:szCs w:val="22"/>
        </w:rPr>
      </w:pPr>
      <w:r>
        <w:t xml:space="preserve">Performance data does not </w:t>
      </w:r>
      <w:proofErr w:type="gramStart"/>
      <w:r>
        <w:t>take into account</w:t>
      </w:r>
      <w:proofErr w:type="gramEnd"/>
      <w:r>
        <w:t xml:space="preserve"> any commissions and costs, if any, charged when units or shares of any fund, as applicable, are issued and redeemed.</w:t>
      </w:r>
    </w:p>
    <w:p w14:paraId="2ACBBB76" w14:textId="77777777" w:rsidR="00970DD6" w:rsidRDefault="00970DD6" w:rsidP="001A0473">
      <w:pPr>
        <w:pStyle w:val="Disclaimertext"/>
        <w:spacing w:before="59" w:line="240" w:lineRule="auto"/>
      </w:pPr>
      <w:r>
        <w:t xml:space="preserve">Schroders has expressed its own views and opinions in this </w:t>
      </w:r>
      <w:proofErr w:type="gramStart"/>
      <w:r>
        <w:t>document</w:t>
      </w:r>
      <w:proofErr w:type="gramEnd"/>
      <w:r>
        <w:t xml:space="preserve"> and these may change.</w:t>
      </w:r>
    </w:p>
    <w:p w14:paraId="64E36413" w14:textId="77777777" w:rsidR="00970DD6" w:rsidRDefault="00970DD6" w:rsidP="001A0473">
      <w:pPr>
        <w:pStyle w:val="Disclaimertext"/>
        <w:spacing w:before="59" w:line="240" w:lineRule="auto"/>
      </w:pPr>
      <w:r>
        <w:t>The information contained herein is believed to be reliable. Where third-party data is referenced, it remains subject to the rights of the respective provider and must not be reproduced or used without prior consent.</w:t>
      </w:r>
    </w:p>
    <w:p w14:paraId="02830E50" w14:textId="77777777" w:rsidR="00970DD6" w:rsidRDefault="00970DD6" w:rsidP="001A0473">
      <w:pPr>
        <w:pStyle w:val="Disclaimertext"/>
        <w:spacing w:before="59" w:line="240" w:lineRule="auto"/>
      </w:pPr>
      <w:r>
        <w:t>This document may contain "forward-looking" information, such as forecasts or projections. Any forecasts stated in this document are not guaranteed and are provided for information purposes only.</w:t>
      </w:r>
    </w:p>
    <w:p w14:paraId="78C8CBA1" w14:textId="77777777" w:rsidR="00970DD6" w:rsidRDefault="00970DD6" w:rsidP="001A0473">
      <w:pPr>
        <w:pStyle w:val="Disclaimertext"/>
        <w:spacing w:before="59" w:line="240" w:lineRule="auto"/>
      </w:pPr>
      <w:r>
        <w:t>Schroders will be a data controller in respect of your personal data. For information on how Schroders might process your personal data, please view our Privacy Policy available at https://www.schroders.com/en/global/individual/footer/privacy-statement/ or on request should you not have access to this webpage.</w:t>
      </w:r>
    </w:p>
    <w:p w14:paraId="4A38E503" w14:textId="77777777" w:rsidR="00970DD6" w:rsidRDefault="00970DD6" w:rsidP="001A0473">
      <w:pPr>
        <w:pStyle w:val="Disclaimertext"/>
        <w:spacing w:before="59" w:line="240" w:lineRule="auto"/>
      </w:pPr>
      <w:r>
        <w:t>A summary of investor rights may be obtained in Bulgarian, Czech, Dutch, English, French, German, Greek, Hungarian, Italian, Polish, Portuguese, Slovakian, Spanish and Swedish from https://www.schroders.com/en/global/individual/summary-of-investor-rights/</w:t>
      </w:r>
    </w:p>
    <w:p w14:paraId="03B688DF" w14:textId="77777777" w:rsidR="00970DD6" w:rsidRDefault="00970DD6" w:rsidP="001A0473">
      <w:pPr>
        <w:pStyle w:val="Disclaimertext"/>
        <w:spacing w:before="59" w:line="240" w:lineRule="auto"/>
      </w:pPr>
      <w:r>
        <w:t>Any third party data including MSCI data is owned or licensed by the data provider and may not be reproduced or extracted and used for any other purpose without the data 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www.schroders.com.</w:t>
      </w:r>
    </w:p>
    <w:p w14:paraId="0CAD9241" w14:textId="77777777" w:rsidR="00970DD6" w:rsidRDefault="00970DD6" w:rsidP="001A0473">
      <w:pPr>
        <w:pStyle w:val="Disclaimertext"/>
        <w:spacing w:before="59" w:line="240" w:lineRule="auto"/>
      </w:pPr>
      <w:r>
        <w:t>For your security, communications may be recorded or monitored.</w:t>
      </w:r>
    </w:p>
    <w:p w14:paraId="79D086C6" w14:textId="77777777" w:rsidR="00970DD6" w:rsidRDefault="00970DD6" w:rsidP="001A0473">
      <w:pPr>
        <w:pStyle w:val="Disclaimertext"/>
        <w:spacing w:before="59" w:line="240" w:lineRule="auto"/>
      </w:pPr>
      <w:r>
        <w:t>Issued by Schroder Investment Management (Europe) S.A., 5, rue Höhenhof, L-1736 Senningerberg, Luxembourg. Registration No B 37.799.</w:t>
      </w:r>
    </w:p>
    <w:p w14:paraId="4FCF5EDA" w14:textId="77777777" w:rsidR="00194907" w:rsidRDefault="00DB6B18" w:rsidP="001A0473">
      <w:pPr>
        <w:pStyle w:val="Disclaimertext"/>
        <w:spacing w:before="59" w:line="240" w:lineRule="auto"/>
      </w:pPr>
      <w:r>
        <w:t>Distributed in Switzerland by Schroder Investment Management (Switzerland) AG, Talstrasse 11, CH-8001 Zurich, Switzerland, a fund management company authorised and supervised by the Swiss Financial Market Supervisory Authority FINMA, Laupenstrasse 27, CH-3003 Bern.</w:t>
      </w:r>
    </w:p>
    <w:p w14:paraId="6176B406" w14:textId="77777777" w:rsidR="00194907" w:rsidRDefault="00DB6B18" w:rsidP="001A0473">
      <w:pPr>
        <w:pStyle w:val="Disclaimertext"/>
        <w:spacing w:before="59" w:line="240" w:lineRule="auto"/>
      </w:pPr>
      <w:r>
        <w:t>Distributed in Spain by Schroder Investment Management (Europe) S.A., Spanish branch, a foreign management company, registered in the EEA investment firm register with the National Market Commission of Securities (CNMV) with the number 20.</w:t>
      </w:r>
    </w:p>
    <w:p w14:paraId="21E53A6D" w14:textId="77777777" w:rsidR="00194907" w:rsidRDefault="00DB6B18" w:rsidP="001A0473">
      <w:pPr>
        <w:pStyle w:val="Disclaimertext"/>
        <w:spacing w:before="59" w:line="240" w:lineRule="auto"/>
      </w:pPr>
      <w:r>
        <w:t>Distributed in the UK by Schroder Investment Management Ltd, 1 London Wall Place, London EC2Y 5AU. Registration No 1893220 England. Authorised and regulated by the Financial Conduct Authority.</w:t>
      </w:r>
    </w:p>
    <w:p w14:paraId="71FF1ED1" w14:textId="77777777" w:rsidR="00194907" w:rsidRDefault="00DB6B18" w:rsidP="001A0473">
      <w:pPr>
        <w:pStyle w:val="Disclaimertext"/>
        <w:spacing w:before="59" w:line="240" w:lineRule="auto"/>
      </w:pPr>
      <w:r>
        <w:t>Distributed in Portugal by Schroder Investment Management (Europe), S.A., registered with the Portuguese Securities Market Commission (CMVM) under the Freedom to Provide Services and with a branch in Spain, registered with the National Securities Market Commission (CNMV) of Investment Services Companies of the European Economic Area with a branch in Spain under number 20.</w:t>
      </w:r>
    </w:p>
    <w:bookmarkEnd w:id="0"/>
    <w:bookmarkEnd w:id="1"/>
    <w:p w14:paraId="634E331B" w14:textId="77777777" w:rsidR="00310EDC" w:rsidRPr="00067C96" w:rsidRDefault="00A23F93" w:rsidP="001A0473">
      <w:pPr>
        <w:pStyle w:val="BodytextRegular"/>
        <w:spacing w:before="59" w:after="0"/>
        <w:rPr>
          <w:sz w:val="16"/>
          <w:szCs w:val="16"/>
        </w:rPr>
      </w:pPr>
      <w:r w:rsidRPr="00067C96">
        <w:rPr>
          <w:noProof/>
          <w:sz w:val="16"/>
          <w:szCs w:val="16"/>
        </w:rPr>
        <w:drawing>
          <wp:anchor distT="0" distB="0" distL="114300" distR="114300" simplePos="0" relativeHeight="251658242" behindDoc="0" locked="1" layoutInCell="1" allowOverlap="1" wp14:anchorId="1A1D9CFC" wp14:editId="52EE3E11">
            <wp:simplePos x="0" y="0"/>
            <wp:positionH relativeFrom="margin">
              <wp:align>left</wp:align>
            </wp:positionH>
            <wp:positionV relativeFrom="page">
              <wp:posOffset>10060940</wp:posOffset>
            </wp:positionV>
            <wp:extent cx="1536700" cy="287655"/>
            <wp:effectExtent l="0" t="0" r="6350" b="0"/>
            <wp:wrapNone/>
            <wp:docPr id="700565160"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165951" name="Picture 5" descr="A blue and black logo&#10;&#10;Description automatically generated"/>
                    <pic:cNvPicPr/>
                  </pic:nvPicPr>
                  <pic:blipFill rotWithShape="1">
                    <a:blip r:embed="rId9"/>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EDC" w:rsidRPr="00067C96">
        <w:rPr>
          <w:b/>
          <w:bCs/>
          <w:sz w:val="16"/>
          <w:szCs w:val="16"/>
        </w:rPr>
        <w:t>SustainEx</w:t>
      </w:r>
      <w:r w:rsidR="00310EDC" w:rsidRPr="00067C96">
        <w:rPr>
          <w:sz w:val="16"/>
          <w:szCs w:val="16"/>
        </w:rPr>
        <w:t>™ </w:t>
      </w:r>
      <w:r w:rsidR="008F75F9" w:rsidRPr="008F75F9">
        <w:rPr>
          <w:sz w:val="16"/>
          <w:szCs w:val="16"/>
        </w:rPr>
        <w:t>Schroders uses SustainEx™ to estimate the net social and environmental “cost” or “benefit”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w:t>
      </w:r>
    </w:p>
    <w:p w14:paraId="4A0B8453" w14:textId="77777777" w:rsidR="00310EDC" w:rsidRPr="00067C96" w:rsidRDefault="00310EDC" w:rsidP="001A0473">
      <w:pPr>
        <w:pStyle w:val="Disclaimertext"/>
        <w:spacing w:before="59" w:line="240" w:lineRule="auto"/>
        <w:rPr>
          <w:szCs w:val="16"/>
        </w:rPr>
      </w:pPr>
      <w:r w:rsidRPr="00067C96">
        <w:rPr>
          <w:b/>
          <w:bCs/>
          <w:szCs w:val="16"/>
        </w:rPr>
        <w:t>CONTEXT™</w:t>
      </w:r>
      <w:r w:rsidRPr="00067C96">
        <w:rPr>
          <w:szCs w:val="16"/>
        </w:rPr>
        <w:t xml:space="preserve"> is a proprietary tool used by Schroders to support the analysis of companies’ and issuers’ management of the environmental, social and governance trends, challenges and opportunities that Schroders believes to be most relevant to that company’s or issuer’s industry. It provides access to a wide range of data sources chosen by Schroders. Any views or conclusions integrated into Schroders’ investment-decision making or research by fund managers or analysts </w:t>
      </w:r>
      <w:proofErr w:type="gramStart"/>
      <w:r w:rsidRPr="00067C96">
        <w:rPr>
          <w:szCs w:val="16"/>
        </w:rPr>
        <w:t>through the use of</w:t>
      </w:r>
      <w:proofErr w:type="gramEnd"/>
      <w:r w:rsidRPr="00067C96">
        <w:rPr>
          <w:szCs w:val="16"/>
        </w:rPr>
        <w:t xml:space="preserve"> CONTEXT™ will reflect their judgement of the sustainability of one or more aspects of the relevant company’s or issuer’s business model, rather than a systematic and data-driven score of the company or issuer in question.</w:t>
      </w:r>
    </w:p>
    <w:p w14:paraId="36E0451C" w14:textId="77777777" w:rsidR="00310EDC" w:rsidRPr="00067C96" w:rsidRDefault="00310EDC" w:rsidP="001A0473">
      <w:pPr>
        <w:pStyle w:val="Disclaimertext"/>
        <w:spacing w:before="59" w:line="240" w:lineRule="auto"/>
        <w:rPr>
          <w:szCs w:val="16"/>
        </w:rPr>
      </w:pPr>
      <w:r w:rsidRPr="00067C96">
        <w:rPr>
          <w:b/>
          <w:bCs/>
          <w:szCs w:val="16"/>
        </w:rPr>
        <w:t>MSCI index:</w:t>
      </w:r>
      <w:r w:rsidRPr="00067C96">
        <w:rPr>
          <w:szCs w:val="16"/>
        </w:rPr>
        <w:t xml:space="preserve"> </w:t>
      </w:r>
      <w:r w:rsidR="008F75F9" w:rsidRPr="008F75F9">
        <w:rPr>
          <w:szCs w:val="16"/>
        </w:rPr>
        <w:t xml:space="preserve">Source: MSCI. The MSCI information may only be used for your internal use, may not be reproduced or </w:t>
      </w:r>
      <w:proofErr w:type="spellStart"/>
      <w:r w:rsidR="008F75F9" w:rsidRPr="008F75F9">
        <w:rPr>
          <w:szCs w:val="16"/>
        </w:rPr>
        <w:t>redisseminated</w:t>
      </w:r>
      <w:proofErr w:type="spellEnd"/>
      <w:r w:rsidR="008F75F9" w:rsidRPr="008F75F9">
        <w:rPr>
          <w:szCs w:val="16"/>
        </w:rPr>
        <w:t xml:space="preserve"> in any form and may not be used as a basis for or a component of any financial instruments or products or indices. None of the MSCI information is intended to constitute investment advice or a recommendation to make (or refrain from making) any kind of investment decision and may not be relied on as such. Historical data and analysis should not be taken as an indication or guarantee of any future performance analysis, forecast or prediction. The MSCI information is provided on an “as is” basis and the user of this information </w:t>
      </w:r>
      <w:proofErr w:type="gramStart"/>
      <w:r w:rsidR="008F75F9" w:rsidRPr="008F75F9">
        <w:rPr>
          <w:szCs w:val="16"/>
        </w:rPr>
        <w:t>assumes</w:t>
      </w:r>
      <w:proofErr w:type="gramEnd"/>
      <w:r w:rsidR="008F75F9" w:rsidRPr="008F75F9">
        <w:rPr>
          <w:szCs w:val="16"/>
        </w:rPr>
        <w:t xml:space="preserve"> the entire risk of any use made of this information. MSCI, each of its affiliates and each other person involved in or related to compiling, computing or creating any MSCI information (collectively, the “MSCI Parties”) expressly disclaims all warranties (including, without limitation, any warranties of originality, accuracy, completeness, timeliness, non-infringement, merchantability and fitness for a particular purpose) with respect to this information. Without limiting any of the foregoing, in no event shall any MSCI Party have any liability for any direct, indirect, special, incidental, punitive, consequential (including, without limitation, lost profits) or any other damages. (www.msci.com).</w:t>
      </w:r>
    </w:p>
    <w:p w14:paraId="54C81EA9" w14:textId="77777777" w:rsidR="00310EDC" w:rsidRPr="00067C96" w:rsidRDefault="00310EDC" w:rsidP="001A0473">
      <w:pPr>
        <w:pStyle w:val="BodyText"/>
        <w:spacing w:before="59" w:after="0"/>
        <w:rPr>
          <w:sz w:val="16"/>
          <w:szCs w:val="16"/>
        </w:rPr>
      </w:pPr>
      <w:r w:rsidRPr="00067C96">
        <w:rPr>
          <w:b/>
          <w:bCs/>
          <w:sz w:val="16"/>
          <w:szCs w:val="16"/>
        </w:rPr>
        <w:t xml:space="preserve">FTSE index:  </w:t>
      </w:r>
      <w:r w:rsidRPr="00067C96">
        <w:rPr>
          <w:sz w:val="16"/>
          <w:szCs w:val="16"/>
        </w:rPr>
        <w:t xml:space="preserve">LSEG is the administrator of certain indices and benchmarks as detailed at https://www.lseg.com/en/ftse-russell/benchmarks. No other information provided, displayed or contained in any LSEG service is made available for use as a benchmark, whether in relation to a financial instrument, financial contract or to measure the performance of an investment fund, or otherwise in a way that would require the relevant information to be administered by a benchmark administrator pursuant to the Benchmarks Regulation (the “Prohibited Use”). LSEG does not grant rights for you to access or use such information for the Prohibited </w:t>
      </w:r>
      <w:proofErr w:type="gramStart"/>
      <w:r w:rsidRPr="00067C96">
        <w:rPr>
          <w:sz w:val="16"/>
          <w:szCs w:val="16"/>
        </w:rPr>
        <w:t>Use</w:t>
      </w:r>
      <w:proofErr w:type="gramEnd"/>
      <w:r w:rsidRPr="00067C96">
        <w:rPr>
          <w:sz w:val="16"/>
          <w:szCs w:val="16"/>
        </w:rPr>
        <w:t xml:space="preserve"> and you may breach the Benchmarks Regulation and/or any contract with LSEG if you do. </w:t>
      </w:r>
      <w:proofErr w:type="gramStart"/>
      <w:r w:rsidRPr="00067C96">
        <w:rPr>
          <w:sz w:val="16"/>
          <w:szCs w:val="16"/>
        </w:rPr>
        <w:t>In the event that</w:t>
      </w:r>
      <w:proofErr w:type="gramEnd"/>
      <w:r w:rsidRPr="00067C96">
        <w:rPr>
          <w:sz w:val="16"/>
          <w:szCs w:val="16"/>
        </w:rPr>
        <w:t xml:space="preserve"> you identify the Prohibited Use of information by any person, you must promptly notify LSEG and provide such details as we may reasonably request to ensure the cessation of the Prohibited Use, where appropriate. Notwithstanding the foregoing, where you have entered into a direct license with a third-party provider which permits the Prohibited Use with respect to such third party provider’s information, you are solely responsible for compliance with Benchmarks Regulation and LSEG shall have no liability or responsibility for any loss or damages that arise from or in connection with the Prohibited Use. LSEG and its affiliates do not warrant that any information is provided in compliance with the Benchmarks Regulation and accept no liability and have no responsibility for any loss or damages that arise from or in connection with the Prohibited Use of the information. “Benchmarks Regulation” means, in respect of the EEA, EU Regulation 2016/1011, in respect of UK, UK benchmarks regulation and in respect of another country, the equivalent legislation. If you are in any doubt about the meaning of the Prohibited Use or your obligations under the Benchmarks Regulation, you should seek professional advice.</w:t>
      </w:r>
    </w:p>
    <w:p w14:paraId="1C4D0AEB" w14:textId="77777777" w:rsidR="00310EDC" w:rsidRPr="00067C96" w:rsidRDefault="00310EDC" w:rsidP="001A0473">
      <w:pPr>
        <w:pStyle w:val="BodyText"/>
        <w:spacing w:before="59" w:after="0"/>
        <w:rPr>
          <w:sz w:val="16"/>
          <w:szCs w:val="16"/>
        </w:rPr>
      </w:pPr>
      <w:r w:rsidRPr="00067C96">
        <w:rPr>
          <w:b/>
          <w:bCs/>
          <w:sz w:val="16"/>
          <w:szCs w:val="16"/>
        </w:rPr>
        <w:t>JP Morgan index</w:t>
      </w:r>
      <w:r w:rsidRPr="00067C96">
        <w:rPr>
          <w:sz w:val="16"/>
          <w:szCs w:val="16"/>
        </w:rPr>
        <w:t xml:space="preserve">: Information has been obtained from sources believed to be </w:t>
      </w:r>
      <w:proofErr w:type="gramStart"/>
      <w:r w:rsidRPr="00067C96">
        <w:rPr>
          <w:sz w:val="16"/>
          <w:szCs w:val="16"/>
        </w:rPr>
        <w:t>reliable</w:t>
      </w:r>
      <w:proofErr w:type="gramEnd"/>
      <w:r w:rsidRPr="00067C96">
        <w:rPr>
          <w:sz w:val="16"/>
          <w:szCs w:val="16"/>
        </w:rPr>
        <w:t xml:space="preserve"> but J.P. Morgan does not warrant its completeness or accuracy. The index is used with permission. The index may not be copied, used or distributed without J.P. Morgan's prior written approval. Copyright 2014, J.P. Morgan Chase &amp; Co. All rights reserved.</w:t>
      </w:r>
    </w:p>
    <w:p w14:paraId="52A8A4D3" w14:textId="77777777" w:rsidR="00310EDC" w:rsidRPr="00067C96" w:rsidRDefault="00310EDC" w:rsidP="001A0473">
      <w:pPr>
        <w:pStyle w:val="BodyText"/>
        <w:spacing w:before="59" w:after="0"/>
        <w:rPr>
          <w:sz w:val="16"/>
          <w:szCs w:val="16"/>
        </w:rPr>
      </w:pPr>
      <w:r w:rsidRPr="00067C96">
        <w:rPr>
          <w:b/>
          <w:bCs/>
          <w:sz w:val="16"/>
          <w:szCs w:val="16"/>
        </w:rPr>
        <w:t xml:space="preserve">©Morningstar </w:t>
      </w:r>
      <w:r w:rsidR="00C51BFF">
        <w:rPr>
          <w:b/>
          <w:bCs/>
          <w:sz w:val="16"/>
          <w:szCs w:val="16"/>
        </w:rPr>
        <w:t>2026</w:t>
      </w:r>
      <w:r w:rsidRPr="00067C96">
        <w:rPr>
          <w:sz w:val="16"/>
          <w:szCs w:val="16"/>
        </w:rPr>
        <w:t>. All Rights Reserved. The information contained herein: (1) is proprietary to Morningstar and/or its content providers; (2) may not be copied or distributed; and (3) is not warranted to be accurate, complete or timely. Neither Morningstar nor its content providers are responsible for any damages or losses arising from any use of this information. Past performance is no guarantee of future results.</w:t>
      </w:r>
    </w:p>
    <w:p w14:paraId="2AC8091F" w14:textId="77777777" w:rsidR="00310EDC" w:rsidRPr="00067C96" w:rsidRDefault="00310EDC" w:rsidP="001A0473">
      <w:pPr>
        <w:pStyle w:val="BodyText"/>
        <w:spacing w:before="59" w:after="0"/>
        <w:rPr>
          <w:sz w:val="16"/>
          <w:szCs w:val="16"/>
        </w:rPr>
      </w:pPr>
      <w:r w:rsidRPr="00067C96">
        <w:rPr>
          <w:b/>
          <w:bCs/>
          <w:sz w:val="16"/>
          <w:szCs w:val="16"/>
        </w:rPr>
        <w:t>©</w:t>
      </w:r>
      <w:r w:rsidR="00C51BFF">
        <w:rPr>
          <w:b/>
          <w:bCs/>
          <w:sz w:val="16"/>
          <w:szCs w:val="16"/>
        </w:rPr>
        <w:t>2026</w:t>
      </w:r>
      <w:r w:rsidRPr="00067C96">
        <w:rPr>
          <w:b/>
          <w:bCs/>
          <w:sz w:val="16"/>
          <w:szCs w:val="16"/>
        </w:rPr>
        <w:t xml:space="preserve"> Nasdaq, Inc. </w:t>
      </w:r>
      <w:r w:rsidRPr="00067C96">
        <w:rPr>
          <w:sz w:val="16"/>
          <w:szCs w:val="16"/>
        </w:rPr>
        <w:t>All Rights Reserved. The information, data, analysis and Information contained herein (i) include the proprietary information of Nasdaq, Inc. and applicable Nasdaq Market, (ii) are subject to applicable Nasdaq Requirements (http://nasdaqtrader.com/Trader.aspx?id=GDP_Ops); (iii) may not be copied or further disseminated except as specifically authorized by Nasdaq, (iv) do not constitute investment advice, (v) are provided solely for informational purposes and (vi) Nasdaq makes no warranties including that the information is complete, accurate or timely. Nasdaq and Nasdaq Market bear no liability with respect to the data, analysis and Information.</w:t>
      </w:r>
    </w:p>
    <w:p w14:paraId="5712B544" w14:textId="77777777" w:rsidR="00310EDC" w:rsidRPr="00067C96" w:rsidRDefault="00310EDC" w:rsidP="001A0473">
      <w:pPr>
        <w:pStyle w:val="BodyText"/>
        <w:spacing w:before="59" w:after="0"/>
        <w:rPr>
          <w:sz w:val="16"/>
          <w:szCs w:val="16"/>
        </w:rPr>
      </w:pPr>
      <w:r w:rsidRPr="00067C96">
        <w:rPr>
          <w:b/>
          <w:bCs/>
          <w:sz w:val="16"/>
          <w:szCs w:val="16"/>
        </w:rPr>
        <w:t>S&amp;P indices:</w:t>
      </w:r>
      <w:r w:rsidRPr="00067C96">
        <w:rPr>
          <w:sz w:val="16"/>
          <w:szCs w:val="16"/>
        </w:rPr>
        <w:t xml:space="preserve"> The S&amp;P 500 is a product of S&amp;P Dow Jones Indices LLC, its affiliates and/or their third party licensors (“SPDJI”</w:t>
      </w:r>
      <w:proofErr w:type="gramStart"/>
      <w:r w:rsidRPr="00067C96">
        <w:rPr>
          <w:sz w:val="16"/>
          <w:szCs w:val="16"/>
        </w:rPr>
        <w:t>), and</w:t>
      </w:r>
      <w:proofErr w:type="gramEnd"/>
      <w:r w:rsidRPr="00067C96">
        <w:rPr>
          <w:sz w:val="16"/>
          <w:szCs w:val="16"/>
        </w:rPr>
        <w:t xml:space="preserve"> has been licensed for use by Schroders. S&amp;P® is a registered trademark of Standard &amp; Poor’s Financial Services LLC (“S&amp;P”); Dow Jones® is a registered trademark of Dow Jones Trademark Holdings LLC (“Dow Jones”</w:t>
      </w:r>
      <w:proofErr w:type="gramStart"/>
      <w:r w:rsidRPr="00067C96">
        <w:rPr>
          <w:sz w:val="16"/>
          <w:szCs w:val="16"/>
        </w:rPr>
        <w:t>);and</w:t>
      </w:r>
      <w:proofErr w:type="gramEnd"/>
      <w:r w:rsidRPr="00067C96">
        <w:rPr>
          <w:sz w:val="16"/>
          <w:szCs w:val="16"/>
        </w:rPr>
        <w:t xml:space="preserve"> these trademarks have been licensed for use by SPDJI and sublicensed for certain purposes by Schroders. Schroders is not sponsored, endorsed, sold or promoted by SPDJI, Dow Jones, S&amp;P, their respective affiliates or their third party licensors and none of such parties make any representation regarding the advisability of investing in such product(s) nor do they have any liability for any errors, omissions, or interruptions of the S&amp;P 500.</w:t>
      </w:r>
    </w:p>
    <w:sectPr w:rsidR="00310EDC" w:rsidRPr="00067C96" w:rsidSect="007943EA">
      <w:footerReference w:type="default" r:id="rId10"/>
      <w:footerReference w:type="first" r:id="rId11"/>
      <w:pgSz w:w="11906" w:h="16838" w:code="9"/>
      <w:pgMar w:top="851" w:right="851" w:bottom="624"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D472" w14:textId="77777777" w:rsidR="00926CA7" w:rsidRPr="00A23F93" w:rsidRDefault="00926CA7" w:rsidP="00EC4E49">
      <w:r w:rsidRPr="00A23F93">
        <w:separator/>
      </w:r>
    </w:p>
    <w:p w14:paraId="7DADE47D" w14:textId="77777777" w:rsidR="00926CA7" w:rsidRPr="00A23F93" w:rsidRDefault="00926CA7"/>
    <w:p w14:paraId="13238FC4" w14:textId="77777777" w:rsidR="00926CA7" w:rsidRPr="00A23F93" w:rsidRDefault="00926CA7"/>
    <w:p w14:paraId="564F0B86" w14:textId="77777777" w:rsidR="00926CA7" w:rsidRPr="00A23F93" w:rsidRDefault="00926CA7"/>
    <w:p w14:paraId="3179EBCC" w14:textId="77777777" w:rsidR="00926CA7" w:rsidRPr="00A23F93" w:rsidRDefault="00926CA7"/>
    <w:p w14:paraId="2D57BBF7" w14:textId="77777777" w:rsidR="00926CA7" w:rsidRPr="00A23F93" w:rsidRDefault="00926CA7"/>
  </w:endnote>
  <w:endnote w:type="continuationSeparator" w:id="0">
    <w:p w14:paraId="43E29289" w14:textId="77777777" w:rsidR="00926CA7" w:rsidRPr="00A23F93" w:rsidRDefault="00926CA7" w:rsidP="00EC4E49">
      <w:r w:rsidRPr="00A23F93">
        <w:continuationSeparator/>
      </w:r>
    </w:p>
    <w:p w14:paraId="661C61CA" w14:textId="77777777" w:rsidR="00926CA7" w:rsidRPr="00A23F93" w:rsidRDefault="00926CA7"/>
    <w:p w14:paraId="69E08248" w14:textId="77777777" w:rsidR="00926CA7" w:rsidRPr="00A23F93" w:rsidRDefault="00926CA7"/>
    <w:p w14:paraId="64F306AE" w14:textId="77777777" w:rsidR="00926CA7" w:rsidRPr="00A23F93" w:rsidRDefault="00926CA7"/>
    <w:p w14:paraId="5A542B15" w14:textId="77777777" w:rsidR="00926CA7" w:rsidRPr="00A23F93" w:rsidRDefault="00926CA7"/>
    <w:p w14:paraId="6A05B7B7" w14:textId="77777777" w:rsidR="00926CA7" w:rsidRPr="00A23F93" w:rsidRDefault="00926CA7"/>
  </w:endnote>
  <w:endnote w:type="continuationNotice" w:id="1">
    <w:p w14:paraId="7875F63E" w14:textId="77777777" w:rsidR="00926CA7" w:rsidRPr="00A23F93" w:rsidRDefault="00926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SimHei">
    <w:panose1 w:val="02010600030101010101"/>
    <w:charset w:val="86"/>
    <w:family w:val="modern"/>
    <w:pitch w:val="fixed"/>
    <w:sig w:usb0="800002BF" w:usb1="38CF7CFA" w:usb2="00000016" w:usb3="00000000" w:csb0="00040001" w:csb1="00000000"/>
  </w:font>
  <w:font w:name="Schroders Circular TT Black">
    <w:panose1 w:val="020B0A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E39D5" w14:textId="77777777" w:rsidR="00626DB0" w:rsidRPr="00A23F93" w:rsidRDefault="00626DB0" w:rsidP="007943EA">
    <w:pPr>
      <w:spacing w:line="200" w:lineRule="exact"/>
      <w:ind w:firstLine="720"/>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65"/>
      <w:gridCol w:w="5262"/>
      <w:gridCol w:w="377"/>
    </w:tblGrid>
    <w:tr w:rsidR="00626DB0" w:rsidRPr="00A23F93" w14:paraId="7F484097" w14:textId="77777777" w:rsidTr="00F13ACE">
      <w:trPr>
        <w:trHeight w:hRule="exact" w:val="340"/>
      </w:trPr>
      <w:tc>
        <w:tcPr>
          <w:tcW w:w="4438" w:type="dxa"/>
          <w:vAlign w:val="center"/>
        </w:tcPr>
        <w:p w14:paraId="7DAD9138" w14:textId="77777777" w:rsidR="00626DB0" w:rsidRPr="00A23F93" w:rsidRDefault="00626DB0" w:rsidP="005F7F3D">
          <w:pPr>
            <w:pStyle w:val="BodyText"/>
            <w:rPr>
              <w:szCs w:val="16"/>
            </w:rPr>
          </w:pPr>
        </w:p>
      </w:tc>
      <w:tc>
        <w:tcPr>
          <w:tcW w:w="5117" w:type="dxa"/>
          <w:vAlign w:val="center"/>
        </w:tcPr>
        <w:p w14:paraId="06A90077" w14:textId="3E269113" w:rsidR="00626DB0" w:rsidRPr="00A23F93" w:rsidRDefault="007C6C31" w:rsidP="002C423C">
          <w:pPr>
            <w:pStyle w:val="Prussiannavyfootertextright"/>
          </w:pPr>
          <w:r>
            <w:t xml:space="preserve">Schroder ISF* </w:t>
          </w:r>
          <w:r w:rsidR="002B4FFE">
            <w:t>EURO</w:t>
          </w:r>
          <w:r>
            <w:t xml:space="preserve"> High Yield</w:t>
          </w:r>
        </w:p>
      </w:tc>
      <w:tc>
        <w:tcPr>
          <w:tcW w:w="367" w:type="dxa"/>
          <w:vAlign w:val="center"/>
        </w:tcPr>
        <w:p w14:paraId="1C839718" w14:textId="77777777" w:rsidR="00626DB0" w:rsidRPr="00A23F93" w:rsidRDefault="00626DB0" w:rsidP="0095184E">
          <w:pPr>
            <w:pStyle w:val="PageNumber1"/>
          </w:pPr>
          <w:r w:rsidRPr="00A23F93">
            <w:rPr>
              <w:rStyle w:val="PageNumber"/>
              <w:b/>
            </w:rPr>
            <w:fldChar w:fldCharType="begin"/>
          </w:r>
          <w:r w:rsidRPr="00A23F93">
            <w:rPr>
              <w:rStyle w:val="PageNumber"/>
              <w:b/>
            </w:rPr>
            <w:instrText xml:space="preserve"> PAGE   \* MERGEFORMAT </w:instrText>
          </w:r>
          <w:r w:rsidRPr="00A23F93">
            <w:rPr>
              <w:rStyle w:val="PageNumber"/>
              <w:b/>
            </w:rPr>
            <w:fldChar w:fldCharType="separate"/>
          </w:r>
          <w:r w:rsidRPr="00A23F93">
            <w:rPr>
              <w:rStyle w:val="PageNumber"/>
              <w:b/>
            </w:rPr>
            <w:t>1</w:t>
          </w:r>
          <w:r w:rsidRPr="00A23F93">
            <w:rPr>
              <w:rStyle w:val="PageNumber"/>
              <w:b/>
            </w:rPr>
            <w:fldChar w:fldCharType="end"/>
          </w:r>
        </w:p>
      </w:tc>
    </w:tr>
  </w:tbl>
  <w:p w14:paraId="11E2EEFF" w14:textId="77777777" w:rsidR="00626DB0" w:rsidRPr="00A23F93" w:rsidRDefault="00626DB0" w:rsidP="00903816">
    <w:pPr>
      <w:spacing w:line="200" w:lineRule="exact"/>
      <w:rPr>
        <w:rFonts w:ascii="Noto Sans" w:hAnsi="Noto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2430" w14:textId="77777777" w:rsidR="00B66C15" w:rsidRDefault="00B66C15" w:rsidP="00B66C15">
    <w:pPr>
      <w:pStyle w:val="FootnoteText"/>
    </w:pPr>
    <w:r>
      <w:t>*Schroder International Selection Fund is referred to as Schroder ISF throughout.</w:t>
    </w:r>
  </w:p>
  <w:p w14:paraId="7685087F" w14:textId="77777777" w:rsidR="00B5080A" w:rsidRPr="00B66C15" w:rsidRDefault="00634810" w:rsidP="00B66C15">
    <w:pPr>
      <w:pStyle w:val="FootnoteText"/>
      <w:rPr>
        <w:sz w:val="19"/>
        <w:szCs w:val="22"/>
      </w:rPr>
    </w:pPr>
    <w:r>
      <w:tab/>
    </w:r>
    <w:r>
      <w:rPr>
        <w:noProof/>
      </w:rPr>
      <w:drawing>
        <wp:anchor distT="0" distB="0" distL="114300" distR="114300" simplePos="0" relativeHeight="251659264" behindDoc="0" locked="1" layoutInCell="1" allowOverlap="1" wp14:anchorId="631374FB" wp14:editId="5A5FD0C3">
          <wp:simplePos x="0" y="0"/>
          <wp:positionH relativeFrom="page">
            <wp:posOffset>5478780</wp:posOffset>
          </wp:positionH>
          <wp:positionV relativeFrom="page">
            <wp:posOffset>10188575</wp:posOffset>
          </wp:positionV>
          <wp:extent cx="1536700" cy="287655"/>
          <wp:effectExtent l="0" t="0" r="6350" b="0"/>
          <wp:wrapNone/>
          <wp:docPr id="17762846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4451" name="Picture 5"/>
                  <pic:cNvPicPr/>
                </pic:nvPicPr>
                <pic:blipFill rotWithShape="1">
                  <a:blip r:embed="rId1"/>
                  <a:srcRect l="9451" t="26760" r="9749" b="28209"/>
                  <a:stretch/>
                </pic:blipFill>
                <pic:spPr bwMode="auto">
                  <a:xfrm>
                    <a:off x="0" y="0"/>
                    <a:ext cx="1536700" cy="287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57F5" w14:textId="77777777" w:rsidR="00926CA7" w:rsidRPr="00A23F93" w:rsidRDefault="00926CA7" w:rsidP="005B67EA">
      <w:r w:rsidRPr="00A23F93">
        <w:separator/>
      </w:r>
    </w:p>
  </w:footnote>
  <w:footnote w:type="continuationSeparator" w:id="0">
    <w:p w14:paraId="2652D9AD" w14:textId="77777777" w:rsidR="00926CA7" w:rsidRPr="00A23F93" w:rsidRDefault="00926CA7" w:rsidP="00EC4E49">
      <w:r w:rsidRPr="00A23F93">
        <w:continuationSeparator/>
      </w:r>
    </w:p>
    <w:p w14:paraId="53759012" w14:textId="77777777" w:rsidR="00926CA7" w:rsidRPr="00A23F93" w:rsidRDefault="00926CA7"/>
  </w:footnote>
  <w:footnote w:type="continuationNotice" w:id="1">
    <w:p w14:paraId="04CA9D03" w14:textId="77777777" w:rsidR="00926CA7" w:rsidRPr="00A23F93" w:rsidRDefault="00926CA7"/>
    <w:p w14:paraId="6BF6369B" w14:textId="77777777" w:rsidR="00926CA7" w:rsidRPr="00A23F93" w:rsidRDefault="00926C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42C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44BD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6285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4F6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5"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6"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7"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8" w15:restartNumberingAfterBreak="0">
    <w:nsid w:val="FFFFFF88"/>
    <w:multiLevelType w:val="singleLevel"/>
    <w:tmpl w:val="B9965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10" w15:restartNumberingAfterBreak="0">
    <w:nsid w:val="06CC62D2"/>
    <w:multiLevelType w:val="singleLevel"/>
    <w:tmpl w:val="15BC518C"/>
    <w:lvl w:ilvl="0">
      <w:start w:val="1"/>
      <w:numFmt w:val="lowerLetter"/>
      <w:lvlText w:val="%1."/>
      <w:lvlJc w:val="left"/>
      <w:pPr>
        <w:tabs>
          <w:tab w:val="num" w:pos="680"/>
        </w:tabs>
        <w:ind w:left="357" w:hanging="357"/>
      </w:pPr>
      <w:rPr>
        <w:rFonts w:hint="default"/>
      </w:rPr>
    </w:lvl>
  </w:abstractNum>
  <w:abstractNum w:abstractNumId="11"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13" w15:restartNumberingAfterBreak="0">
    <w:nsid w:val="297C26D5"/>
    <w:multiLevelType w:val="singleLevel"/>
    <w:tmpl w:val="72FEDCCA"/>
    <w:lvl w:ilvl="0">
      <w:start w:val="1"/>
      <w:numFmt w:val="decimal"/>
      <w:lvlText w:val="%1."/>
      <w:lvlJc w:val="left"/>
      <w:pPr>
        <w:ind w:left="360" w:hanging="360"/>
      </w:pPr>
      <w:rPr>
        <w:rFonts w:ascii="Noto Sans" w:hAnsi="Noto Sans" w:hint="default"/>
        <w:b/>
        <w:i w:val="0"/>
        <w:sz w:val="20"/>
        <w:szCs w:val="20"/>
      </w:rPr>
    </w:lvl>
  </w:abstractNum>
  <w:abstractNum w:abstractNumId="14"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496058"/>
    <w:multiLevelType w:val="hybridMultilevel"/>
    <w:tmpl w:val="B702625E"/>
    <w:lvl w:ilvl="0" w:tplc="103C3A56">
      <w:start w:val="1"/>
      <w:numFmt w:val="bullet"/>
      <w:lvlText w:val="–"/>
      <w:lvlJc w:val="left"/>
      <w:pPr>
        <w:tabs>
          <w:tab w:val="num" w:pos="720"/>
        </w:tabs>
        <w:ind w:left="720" w:hanging="360"/>
      </w:pPr>
      <w:rPr>
        <w:rFonts w:ascii="Noto Sans" w:hAnsi="Noto Sans" w:hint="default"/>
      </w:rPr>
    </w:lvl>
    <w:lvl w:ilvl="1" w:tplc="6F92B45E" w:tentative="1">
      <w:start w:val="1"/>
      <w:numFmt w:val="bullet"/>
      <w:lvlText w:val="–"/>
      <w:lvlJc w:val="left"/>
      <w:pPr>
        <w:tabs>
          <w:tab w:val="num" w:pos="1440"/>
        </w:tabs>
        <w:ind w:left="1440" w:hanging="360"/>
      </w:pPr>
      <w:rPr>
        <w:rFonts w:ascii="Noto Sans" w:hAnsi="Noto Sans" w:hint="default"/>
      </w:rPr>
    </w:lvl>
    <w:lvl w:ilvl="2" w:tplc="2926F9E8" w:tentative="1">
      <w:start w:val="1"/>
      <w:numFmt w:val="bullet"/>
      <w:lvlText w:val="–"/>
      <w:lvlJc w:val="left"/>
      <w:pPr>
        <w:tabs>
          <w:tab w:val="num" w:pos="2160"/>
        </w:tabs>
        <w:ind w:left="2160" w:hanging="360"/>
      </w:pPr>
      <w:rPr>
        <w:rFonts w:ascii="Noto Sans" w:hAnsi="Noto Sans" w:hint="default"/>
      </w:rPr>
    </w:lvl>
    <w:lvl w:ilvl="3" w:tplc="D4DE02D8" w:tentative="1">
      <w:start w:val="1"/>
      <w:numFmt w:val="bullet"/>
      <w:lvlText w:val="–"/>
      <w:lvlJc w:val="left"/>
      <w:pPr>
        <w:tabs>
          <w:tab w:val="num" w:pos="2880"/>
        </w:tabs>
        <w:ind w:left="2880" w:hanging="360"/>
      </w:pPr>
      <w:rPr>
        <w:rFonts w:ascii="Noto Sans" w:hAnsi="Noto Sans" w:hint="default"/>
      </w:rPr>
    </w:lvl>
    <w:lvl w:ilvl="4" w:tplc="5EDEE34A" w:tentative="1">
      <w:start w:val="1"/>
      <w:numFmt w:val="bullet"/>
      <w:lvlText w:val="–"/>
      <w:lvlJc w:val="left"/>
      <w:pPr>
        <w:tabs>
          <w:tab w:val="num" w:pos="3600"/>
        </w:tabs>
        <w:ind w:left="3600" w:hanging="360"/>
      </w:pPr>
      <w:rPr>
        <w:rFonts w:ascii="Noto Sans" w:hAnsi="Noto Sans" w:hint="default"/>
      </w:rPr>
    </w:lvl>
    <w:lvl w:ilvl="5" w:tplc="15AA9EF8" w:tentative="1">
      <w:start w:val="1"/>
      <w:numFmt w:val="bullet"/>
      <w:lvlText w:val="–"/>
      <w:lvlJc w:val="left"/>
      <w:pPr>
        <w:tabs>
          <w:tab w:val="num" w:pos="4320"/>
        </w:tabs>
        <w:ind w:left="4320" w:hanging="360"/>
      </w:pPr>
      <w:rPr>
        <w:rFonts w:ascii="Noto Sans" w:hAnsi="Noto Sans" w:hint="default"/>
      </w:rPr>
    </w:lvl>
    <w:lvl w:ilvl="6" w:tplc="13DC1DD0" w:tentative="1">
      <w:start w:val="1"/>
      <w:numFmt w:val="bullet"/>
      <w:lvlText w:val="–"/>
      <w:lvlJc w:val="left"/>
      <w:pPr>
        <w:tabs>
          <w:tab w:val="num" w:pos="5040"/>
        </w:tabs>
        <w:ind w:left="5040" w:hanging="360"/>
      </w:pPr>
      <w:rPr>
        <w:rFonts w:ascii="Noto Sans" w:hAnsi="Noto Sans" w:hint="default"/>
      </w:rPr>
    </w:lvl>
    <w:lvl w:ilvl="7" w:tplc="1E1EAB28" w:tentative="1">
      <w:start w:val="1"/>
      <w:numFmt w:val="bullet"/>
      <w:lvlText w:val="–"/>
      <w:lvlJc w:val="left"/>
      <w:pPr>
        <w:tabs>
          <w:tab w:val="num" w:pos="5760"/>
        </w:tabs>
        <w:ind w:left="5760" w:hanging="360"/>
      </w:pPr>
      <w:rPr>
        <w:rFonts w:ascii="Noto Sans" w:hAnsi="Noto Sans" w:hint="default"/>
      </w:rPr>
    </w:lvl>
    <w:lvl w:ilvl="8" w:tplc="9DFC4278" w:tentative="1">
      <w:start w:val="1"/>
      <w:numFmt w:val="bullet"/>
      <w:lvlText w:val="–"/>
      <w:lvlJc w:val="left"/>
      <w:pPr>
        <w:tabs>
          <w:tab w:val="num" w:pos="6480"/>
        </w:tabs>
        <w:ind w:left="6480" w:hanging="360"/>
      </w:pPr>
      <w:rPr>
        <w:rFonts w:ascii="Noto Sans" w:hAnsi="Noto Sans" w:hint="default"/>
      </w:rPr>
    </w:lvl>
  </w:abstractNum>
  <w:abstractNum w:abstractNumId="16"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8" w15:restartNumberingAfterBreak="0">
    <w:nsid w:val="4B6F2E1C"/>
    <w:multiLevelType w:val="multilevel"/>
    <w:tmpl w:val="7AC43B3A"/>
    <w:lvl w:ilvl="0">
      <w:start w:val="1"/>
      <w:numFmt w:val="decimal"/>
      <w:pStyle w:val="Multilevellist1"/>
      <w:lvlText w:val="%1."/>
      <w:lvlJc w:val="left"/>
      <w:pPr>
        <w:ind w:left="851" w:hanging="851"/>
      </w:pPr>
      <w:rPr>
        <w:rFonts w:hint="default"/>
      </w:rPr>
    </w:lvl>
    <w:lvl w:ilvl="1">
      <w:start w:val="1"/>
      <w:numFmt w:val="decimal"/>
      <w:pStyle w:val="Multilevellistlevel2"/>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9"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20" w15:restartNumberingAfterBreak="0">
    <w:nsid w:val="51C950BC"/>
    <w:multiLevelType w:val="multilevel"/>
    <w:tmpl w:val="C4044232"/>
    <w:lvl w:ilvl="0">
      <w:start w:val="1"/>
      <w:numFmt w:val="decimal"/>
      <w:lvlText w:val="Section %1"/>
      <w:lvlJc w:val="left"/>
      <w:pPr>
        <w:ind w:left="3828" w:hanging="2126"/>
      </w:pPr>
      <w:rPr>
        <w:rFonts w:hint="default"/>
        <w:color w:val="A446BA" w:themeColor="text2"/>
      </w:r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A217FA"/>
    <w:multiLevelType w:val="multilevel"/>
    <w:tmpl w:val="8DA8E702"/>
    <w:lvl w:ilvl="0">
      <w:start w:val="1"/>
      <w:numFmt w:val="decimal"/>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22" w15:restartNumberingAfterBreak="0">
    <w:nsid w:val="715B7BBD"/>
    <w:multiLevelType w:val="hybridMultilevel"/>
    <w:tmpl w:val="5E9635DA"/>
    <w:lvl w:ilvl="0" w:tplc="68BA3B14">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9000F4"/>
    <w:multiLevelType w:val="hybridMultilevel"/>
    <w:tmpl w:val="5E08C598"/>
    <w:lvl w:ilvl="0" w:tplc="F968B7C2">
      <w:start w:val="1"/>
      <w:numFmt w:val="lowerLetter"/>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9"/>
  </w:num>
  <w:num w:numId="2" w16cid:durableId="1077482466">
    <w:abstractNumId w:val="7"/>
  </w:num>
  <w:num w:numId="3" w16cid:durableId="467404019">
    <w:abstractNumId w:val="6"/>
  </w:num>
  <w:num w:numId="4" w16cid:durableId="404765174">
    <w:abstractNumId w:val="5"/>
  </w:num>
  <w:num w:numId="5" w16cid:durableId="1313488688">
    <w:abstractNumId w:val="4"/>
  </w:num>
  <w:num w:numId="6" w16cid:durableId="100271668">
    <w:abstractNumId w:val="17"/>
  </w:num>
  <w:num w:numId="7" w16cid:durableId="1595939290">
    <w:abstractNumId w:val="19"/>
  </w:num>
  <w:num w:numId="8" w16cid:durableId="1275870892">
    <w:abstractNumId w:val="13"/>
  </w:num>
  <w:num w:numId="9" w16cid:durableId="612178504">
    <w:abstractNumId w:val="16"/>
  </w:num>
  <w:num w:numId="10" w16cid:durableId="536938488">
    <w:abstractNumId w:val="11"/>
  </w:num>
  <w:num w:numId="11" w16cid:durableId="1160923921">
    <w:abstractNumId w:val="14"/>
  </w:num>
  <w:num w:numId="12" w16cid:durableId="117572224">
    <w:abstractNumId w:val="20"/>
  </w:num>
  <w:num w:numId="13" w16cid:durableId="2137329981">
    <w:abstractNumId w:val="25"/>
  </w:num>
  <w:num w:numId="14" w16cid:durableId="1721855778">
    <w:abstractNumId w:val="21"/>
  </w:num>
  <w:num w:numId="15" w16cid:durableId="113908630">
    <w:abstractNumId w:val="13"/>
  </w:num>
  <w:num w:numId="16" w16cid:durableId="2082099280">
    <w:abstractNumId w:val="19"/>
  </w:num>
  <w:num w:numId="17" w16cid:durableId="1407729630">
    <w:abstractNumId w:val="25"/>
  </w:num>
  <w:num w:numId="18" w16cid:durableId="1443497560">
    <w:abstractNumId w:val="14"/>
  </w:num>
  <w:num w:numId="19" w16cid:durableId="1618296394">
    <w:abstractNumId w:val="17"/>
  </w:num>
  <w:num w:numId="20" w16cid:durableId="130561703">
    <w:abstractNumId w:val="11"/>
  </w:num>
  <w:num w:numId="21" w16cid:durableId="1949774972">
    <w:abstractNumId w:val="16"/>
  </w:num>
  <w:num w:numId="22" w16cid:durableId="835729848">
    <w:abstractNumId w:val="20"/>
  </w:num>
  <w:num w:numId="23" w16cid:durableId="392042081">
    <w:abstractNumId w:val="23"/>
  </w:num>
  <w:num w:numId="24" w16cid:durableId="1507281871">
    <w:abstractNumId w:val="17"/>
  </w:num>
  <w:num w:numId="25" w16cid:durableId="1647391129">
    <w:abstractNumId w:val="21"/>
  </w:num>
  <w:num w:numId="26" w16cid:durableId="1342391015">
    <w:abstractNumId w:val="12"/>
  </w:num>
  <w:num w:numId="27" w16cid:durableId="1491756177">
    <w:abstractNumId w:val="24"/>
  </w:num>
  <w:num w:numId="28" w16cid:durableId="172451523">
    <w:abstractNumId w:val="8"/>
  </w:num>
  <w:num w:numId="29" w16cid:durableId="366488392">
    <w:abstractNumId w:val="3"/>
  </w:num>
  <w:num w:numId="30" w16cid:durableId="109328283">
    <w:abstractNumId w:val="2"/>
  </w:num>
  <w:num w:numId="31" w16cid:durableId="285356558">
    <w:abstractNumId w:val="1"/>
  </w:num>
  <w:num w:numId="32" w16cid:durableId="1290042224">
    <w:abstractNumId w:val="0"/>
  </w:num>
  <w:num w:numId="33" w16cid:durableId="488521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491439">
    <w:abstractNumId w:val="20"/>
  </w:num>
  <w:num w:numId="35" w16cid:durableId="1106388310">
    <w:abstractNumId w:val="18"/>
  </w:num>
  <w:num w:numId="36" w16cid:durableId="1421415432">
    <w:abstractNumId w:val="26"/>
  </w:num>
  <w:num w:numId="37" w16cid:durableId="787742933">
    <w:abstractNumId w:val="20"/>
  </w:num>
  <w:num w:numId="38" w16cid:durableId="737632976">
    <w:abstractNumId w:val="20"/>
  </w:num>
  <w:num w:numId="39" w16cid:durableId="877819785">
    <w:abstractNumId w:val="20"/>
  </w:num>
  <w:num w:numId="40" w16cid:durableId="1016613435">
    <w:abstractNumId w:val="10"/>
    <w:lvlOverride w:ilvl="0">
      <w:startOverride w:val="6"/>
    </w:lvlOverride>
  </w:num>
  <w:num w:numId="41" w16cid:durableId="10571981">
    <w:abstractNumId w:val="22"/>
  </w:num>
  <w:num w:numId="42" w16cid:durableId="673924818">
    <w:abstractNumId w:val="15"/>
  </w:num>
  <w:num w:numId="43" w16cid:durableId="1123620625">
    <w:abstractNumId w:val="23"/>
  </w:num>
  <w:num w:numId="44" w16cid:durableId="2046786535">
    <w:abstractNumId w:val="17"/>
  </w:num>
  <w:num w:numId="45" w16cid:durableId="171137063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56"/>
    <w:rsid w:val="00000BBB"/>
    <w:rsid w:val="000011B2"/>
    <w:rsid w:val="00001AA8"/>
    <w:rsid w:val="000031BF"/>
    <w:rsid w:val="00003573"/>
    <w:rsid w:val="0000375A"/>
    <w:rsid w:val="00003D11"/>
    <w:rsid w:val="000066AB"/>
    <w:rsid w:val="00006AD1"/>
    <w:rsid w:val="00006F11"/>
    <w:rsid w:val="00007046"/>
    <w:rsid w:val="00007F4D"/>
    <w:rsid w:val="000117A5"/>
    <w:rsid w:val="000120F1"/>
    <w:rsid w:val="0001267C"/>
    <w:rsid w:val="00012EB8"/>
    <w:rsid w:val="00013CD9"/>
    <w:rsid w:val="00014018"/>
    <w:rsid w:val="0001403E"/>
    <w:rsid w:val="000155C2"/>
    <w:rsid w:val="00015DFD"/>
    <w:rsid w:val="00016394"/>
    <w:rsid w:val="000172FF"/>
    <w:rsid w:val="00020E55"/>
    <w:rsid w:val="00021024"/>
    <w:rsid w:val="00022C02"/>
    <w:rsid w:val="00025D1A"/>
    <w:rsid w:val="00026731"/>
    <w:rsid w:val="000311FB"/>
    <w:rsid w:val="00033B6A"/>
    <w:rsid w:val="000345B2"/>
    <w:rsid w:val="000374AB"/>
    <w:rsid w:val="00041658"/>
    <w:rsid w:val="00044619"/>
    <w:rsid w:val="00044F37"/>
    <w:rsid w:val="000470CE"/>
    <w:rsid w:val="0004770C"/>
    <w:rsid w:val="00047D5D"/>
    <w:rsid w:val="00051AFE"/>
    <w:rsid w:val="00052460"/>
    <w:rsid w:val="00053DE4"/>
    <w:rsid w:val="00056072"/>
    <w:rsid w:val="00056D6A"/>
    <w:rsid w:val="00057A42"/>
    <w:rsid w:val="00057BC9"/>
    <w:rsid w:val="00060D93"/>
    <w:rsid w:val="000613AD"/>
    <w:rsid w:val="0006152F"/>
    <w:rsid w:val="00062761"/>
    <w:rsid w:val="00062C8E"/>
    <w:rsid w:val="00062ECD"/>
    <w:rsid w:val="000652FB"/>
    <w:rsid w:val="0006657D"/>
    <w:rsid w:val="00066BFF"/>
    <w:rsid w:val="00067232"/>
    <w:rsid w:val="00067C96"/>
    <w:rsid w:val="0007333E"/>
    <w:rsid w:val="00073A5C"/>
    <w:rsid w:val="00076530"/>
    <w:rsid w:val="00085242"/>
    <w:rsid w:val="0008623E"/>
    <w:rsid w:val="00086792"/>
    <w:rsid w:val="00086EC2"/>
    <w:rsid w:val="00091247"/>
    <w:rsid w:val="00093647"/>
    <w:rsid w:val="000939FD"/>
    <w:rsid w:val="00094952"/>
    <w:rsid w:val="0009796F"/>
    <w:rsid w:val="000A012C"/>
    <w:rsid w:val="000A140C"/>
    <w:rsid w:val="000A3F5A"/>
    <w:rsid w:val="000A41E8"/>
    <w:rsid w:val="000A5750"/>
    <w:rsid w:val="000A71B3"/>
    <w:rsid w:val="000B1056"/>
    <w:rsid w:val="000B33D5"/>
    <w:rsid w:val="000B41B6"/>
    <w:rsid w:val="000B44F7"/>
    <w:rsid w:val="000B5185"/>
    <w:rsid w:val="000B545A"/>
    <w:rsid w:val="000B6560"/>
    <w:rsid w:val="000B6ABA"/>
    <w:rsid w:val="000C09CD"/>
    <w:rsid w:val="000C4793"/>
    <w:rsid w:val="000C4876"/>
    <w:rsid w:val="000C48F1"/>
    <w:rsid w:val="000C5914"/>
    <w:rsid w:val="000C5DFA"/>
    <w:rsid w:val="000D05B8"/>
    <w:rsid w:val="000D099A"/>
    <w:rsid w:val="000D0CA0"/>
    <w:rsid w:val="000D3B4F"/>
    <w:rsid w:val="000D5417"/>
    <w:rsid w:val="000D5429"/>
    <w:rsid w:val="000D67CD"/>
    <w:rsid w:val="000D7AD1"/>
    <w:rsid w:val="000E0B41"/>
    <w:rsid w:val="000E31CE"/>
    <w:rsid w:val="000E4302"/>
    <w:rsid w:val="000E74C9"/>
    <w:rsid w:val="000E77A1"/>
    <w:rsid w:val="000E7B69"/>
    <w:rsid w:val="000E7BF9"/>
    <w:rsid w:val="000F2A53"/>
    <w:rsid w:val="000F4368"/>
    <w:rsid w:val="000F61FA"/>
    <w:rsid w:val="000F638B"/>
    <w:rsid w:val="00101343"/>
    <w:rsid w:val="0010159F"/>
    <w:rsid w:val="001019D9"/>
    <w:rsid w:val="00102792"/>
    <w:rsid w:val="00103B62"/>
    <w:rsid w:val="00105004"/>
    <w:rsid w:val="001050D4"/>
    <w:rsid w:val="00110C75"/>
    <w:rsid w:val="0011206B"/>
    <w:rsid w:val="00113154"/>
    <w:rsid w:val="00113E2B"/>
    <w:rsid w:val="00115FCA"/>
    <w:rsid w:val="0011709D"/>
    <w:rsid w:val="00117130"/>
    <w:rsid w:val="001175A5"/>
    <w:rsid w:val="001176C9"/>
    <w:rsid w:val="00117814"/>
    <w:rsid w:val="00122363"/>
    <w:rsid w:val="0012247B"/>
    <w:rsid w:val="00124C11"/>
    <w:rsid w:val="00125307"/>
    <w:rsid w:val="00126CA6"/>
    <w:rsid w:val="00127693"/>
    <w:rsid w:val="0013085F"/>
    <w:rsid w:val="00131698"/>
    <w:rsid w:val="00131C6C"/>
    <w:rsid w:val="00131EC2"/>
    <w:rsid w:val="00132535"/>
    <w:rsid w:val="0013257C"/>
    <w:rsid w:val="00133724"/>
    <w:rsid w:val="00135CDB"/>
    <w:rsid w:val="00136166"/>
    <w:rsid w:val="00136A48"/>
    <w:rsid w:val="00143C0D"/>
    <w:rsid w:val="00144004"/>
    <w:rsid w:val="00147E57"/>
    <w:rsid w:val="00150110"/>
    <w:rsid w:val="00153577"/>
    <w:rsid w:val="0015678D"/>
    <w:rsid w:val="00156A61"/>
    <w:rsid w:val="0015762F"/>
    <w:rsid w:val="00160212"/>
    <w:rsid w:val="00160B89"/>
    <w:rsid w:val="00160E60"/>
    <w:rsid w:val="00165662"/>
    <w:rsid w:val="001658A5"/>
    <w:rsid w:val="00165FA4"/>
    <w:rsid w:val="00170529"/>
    <w:rsid w:val="00173380"/>
    <w:rsid w:val="00173927"/>
    <w:rsid w:val="001766BD"/>
    <w:rsid w:val="00176772"/>
    <w:rsid w:val="0017720C"/>
    <w:rsid w:val="00181010"/>
    <w:rsid w:val="00182329"/>
    <w:rsid w:val="0018264A"/>
    <w:rsid w:val="0018273E"/>
    <w:rsid w:val="00184EC9"/>
    <w:rsid w:val="00185669"/>
    <w:rsid w:val="00186DEB"/>
    <w:rsid w:val="00187867"/>
    <w:rsid w:val="00190131"/>
    <w:rsid w:val="00190513"/>
    <w:rsid w:val="001914CC"/>
    <w:rsid w:val="00191907"/>
    <w:rsid w:val="00191AA7"/>
    <w:rsid w:val="0019230D"/>
    <w:rsid w:val="001923FE"/>
    <w:rsid w:val="00194311"/>
    <w:rsid w:val="00194907"/>
    <w:rsid w:val="001950AD"/>
    <w:rsid w:val="001A0473"/>
    <w:rsid w:val="001A1ECF"/>
    <w:rsid w:val="001A2352"/>
    <w:rsid w:val="001A23FC"/>
    <w:rsid w:val="001A2E20"/>
    <w:rsid w:val="001A3924"/>
    <w:rsid w:val="001A3E3C"/>
    <w:rsid w:val="001A4092"/>
    <w:rsid w:val="001A444C"/>
    <w:rsid w:val="001A51FE"/>
    <w:rsid w:val="001B0D5D"/>
    <w:rsid w:val="001B497F"/>
    <w:rsid w:val="001B4A2A"/>
    <w:rsid w:val="001B6FBA"/>
    <w:rsid w:val="001B725E"/>
    <w:rsid w:val="001B784A"/>
    <w:rsid w:val="001C4A7E"/>
    <w:rsid w:val="001C4AC6"/>
    <w:rsid w:val="001C4C02"/>
    <w:rsid w:val="001C5000"/>
    <w:rsid w:val="001C6156"/>
    <w:rsid w:val="001C6E39"/>
    <w:rsid w:val="001C7A41"/>
    <w:rsid w:val="001D05FE"/>
    <w:rsid w:val="001D0876"/>
    <w:rsid w:val="001D1627"/>
    <w:rsid w:val="001D242A"/>
    <w:rsid w:val="001D2CBE"/>
    <w:rsid w:val="001D3725"/>
    <w:rsid w:val="001D48B5"/>
    <w:rsid w:val="001D5665"/>
    <w:rsid w:val="001D56B5"/>
    <w:rsid w:val="001D5CDE"/>
    <w:rsid w:val="001D69C2"/>
    <w:rsid w:val="001E1145"/>
    <w:rsid w:val="001E3265"/>
    <w:rsid w:val="001E3C26"/>
    <w:rsid w:val="001E3E47"/>
    <w:rsid w:val="001E696A"/>
    <w:rsid w:val="001E6E49"/>
    <w:rsid w:val="001F0732"/>
    <w:rsid w:val="001F0BA6"/>
    <w:rsid w:val="001F0D15"/>
    <w:rsid w:val="001F29F0"/>
    <w:rsid w:val="001F35C2"/>
    <w:rsid w:val="001F37FA"/>
    <w:rsid w:val="001F4AC5"/>
    <w:rsid w:val="001F4DB1"/>
    <w:rsid w:val="001F586A"/>
    <w:rsid w:val="001F5A8D"/>
    <w:rsid w:val="001F66A9"/>
    <w:rsid w:val="00200182"/>
    <w:rsid w:val="00202B52"/>
    <w:rsid w:val="002030CE"/>
    <w:rsid w:val="00203BB4"/>
    <w:rsid w:val="002045AD"/>
    <w:rsid w:val="002045CD"/>
    <w:rsid w:val="0020517D"/>
    <w:rsid w:val="0020570E"/>
    <w:rsid w:val="002061AF"/>
    <w:rsid w:val="0020663D"/>
    <w:rsid w:val="002067AE"/>
    <w:rsid w:val="002071E0"/>
    <w:rsid w:val="00207BBE"/>
    <w:rsid w:val="002106ED"/>
    <w:rsid w:val="0021118F"/>
    <w:rsid w:val="0021191F"/>
    <w:rsid w:val="00212B0E"/>
    <w:rsid w:val="00212FED"/>
    <w:rsid w:val="00214BF6"/>
    <w:rsid w:val="00215B52"/>
    <w:rsid w:val="00217499"/>
    <w:rsid w:val="002207B2"/>
    <w:rsid w:val="00224392"/>
    <w:rsid w:val="00226117"/>
    <w:rsid w:val="00230355"/>
    <w:rsid w:val="00232B2C"/>
    <w:rsid w:val="0023392D"/>
    <w:rsid w:val="00234370"/>
    <w:rsid w:val="002345DF"/>
    <w:rsid w:val="0023509A"/>
    <w:rsid w:val="00236053"/>
    <w:rsid w:val="002360B9"/>
    <w:rsid w:val="00236136"/>
    <w:rsid w:val="0023654B"/>
    <w:rsid w:val="00237B40"/>
    <w:rsid w:val="002422D1"/>
    <w:rsid w:val="00242A67"/>
    <w:rsid w:val="00243BAE"/>
    <w:rsid w:val="00244A21"/>
    <w:rsid w:val="0024617D"/>
    <w:rsid w:val="00247837"/>
    <w:rsid w:val="0025123E"/>
    <w:rsid w:val="00251481"/>
    <w:rsid w:val="00251540"/>
    <w:rsid w:val="002541D8"/>
    <w:rsid w:val="00255BD1"/>
    <w:rsid w:val="00260CCF"/>
    <w:rsid w:val="00261A9F"/>
    <w:rsid w:val="00261D48"/>
    <w:rsid w:val="00261FA2"/>
    <w:rsid w:val="00262EBB"/>
    <w:rsid w:val="002644A8"/>
    <w:rsid w:val="002652C6"/>
    <w:rsid w:val="002658D6"/>
    <w:rsid w:val="002675CD"/>
    <w:rsid w:val="00270854"/>
    <w:rsid w:val="00270FF9"/>
    <w:rsid w:val="00273856"/>
    <w:rsid w:val="00274546"/>
    <w:rsid w:val="002745E6"/>
    <w:rsid w:val="00274F9F"/>
    <w:rsid w:val="00275704"/>
    <w:rsid w:val="00281D5F"/>
    <w:rsid w:val="00282DE8"/>
    <w:rsid w:val="00283010"/>
    <w:rsid w:val="00285D8B"/>
    <w:rsid w:val="00287C01"/>
    <w:rsid w:val="002904BF"/>
    <w:rsid w:val="00291EFC"/>
    <w:rsid w:val="00291FBC"/>
    <w:rsid w:val="0029401F"/>
    <w:rsid w:val="002947AF"/>
    <w:rsid w:val="00294A48"/>
    <w:rsid w:val="00295E7B"/>
    <w:rsid w:val="00297003"/>
    <w:rsid w:val="002A07EE"/>
    <w:rsid w:val="002A0A80"/>
    <w:rsid w:val="002A1B97"/>
    <w:rsid w:val="002A3AD0"/>
    <w:rsid w:val="002A5578"/>
    <w:rsid w:val="002A5ACE"/>
    <w:rsid w:val="002A67D8"/>
    <w:rsid w:val="002A6F3F"/>
    <w:rsid w:val="002A73C3"/>
    <w:rsid w:val="002A7782"/>
    <w:rsid w:val="002A7A47"/>
    <w:rsid w:val="002B0A37"/>
    <w:rsid w:val="002B169E"/>
    <w:rsid w:val="002B1C49"/>
    <w:rsid w:val="002B4FFE"/>
    <w:rsid w:val="002B6056"/>
    <w:rsid w:val="002B6112"/>
    <w:rsid w:val="002B7035"/>
    <w:rsid w:val="002C0DB8"/>
    <w:rsid w:val="002C0E0D"/>
    <w:rsid w:val="002C1CCF"/>
    <w:rsid w:val="002C3C9B"/>
    <w:rsid w:val="002C423C"/>
    <w:rsid w:val="002C6C02"/>
    <w:rsid w:val="002C78EC"/>
    <w:rsid w:val="002D4176"/>
    <w:rsid w:val="002D432F"/>
    <w:rsid w:val="002D5EE2"/>
    <w:rsid w:val="002D5FC4"/>
    <w:rsid w:val="002D6067"/>
    <w:rsid w:val="002D64AE"/>
    <w:rsid w:val="002D67BD"/>
    <w:rsid w:val="002D7184"/>
    <w:rsid w:val="002E1BA6"/>
    <w:rsid w:val="002E1BEB"/>
    <w:rsid w:val="002E3BFE"/>
    <w:rsid w:val="002E3FA7"/>
    <w:rsid w:val="002E4284"/>
    <w:rsid w:val="002E466D"/>
    <w:rsid w:val="002E5BED"/>
    <w:rsid w:val="002F060A"/>
    <w:rsid w:val="002F09A9"/>
    <w:rsid w:val="002F0B30"/>
    <w:rsid w:val="002F12FD"/>
    <w:rsid w:val="002F2A65"/>
    <w:rsid w:val="002F4DA3"/>
    <w:rsid w:val="002F4F12"/>
    <w:rsid w:val="002F74D8"/>
    <w:rsid w:val="002F7A2F"/>
    <w:rsid w:val="002F7A5A"/>
    <w:rsid w:val="002F7E41"/>
    <w:rsid w:val="00300E37"/>
    <w:rsid w:val="003021A1"/>
    <w:rsid w:val="00302C26"/>
    <w:rsid w:val="003032C4"/>
    <w:rsid w:val="00303BAA"/>
    <w:rsid w:val="0030460B"/>
    <w:rsid w:val="00304679"/>
    <w:rsid w:val="00306036"/>
    <w:rsid w:val="00306AB3"/>
    <w:rsid w:val="00310608"/>
    <w:rsid w:val="00310D63"/>
    <w:rsid w:val="00310EDC"/>
    <w:rsid w:val="00312933"/>
    <w:rsid w:val="00313713"/>
    <w:rsid w:val="003148F6"/>
    <w:rsid w:val="0031512C"/>
    <w:rsid w:val="003155DE"/>
    <w:rsid w:val="003164BD"/>
    <w:rsid w:val="0031660A"/>
    <w:rsid w:val="00322E5F"/>
    <w:rsid w:val="00323CCF"/>
    <w:rsid w:val="0032581F"/>
    <w:rsid w:val="00326AC1"/>
    <w:rsid w:val="0032796C"/>
    <w:rsid w:val="0033001E"/>
    <w:rsid w:val="00330C4F"/>
    <w:rsid w:val="00330ECD"/>
    <w:rsid w:val="00334352"/>
    <w:rsid w:val="003347E0"/>
    <w:rsid w:val="00337330"/>
    <w:rsid w:val="00340CF9"/>
    <w:rsid w:val="00340E01"/>
    <w:rsid w:val="00341E33"/>
    <w:rsid w:val="00342100"/>
    <w:rsid w:val="003452FA"/>
    <w:rsid w:val="00346D16"/>
    <w:rsid w:val="00347A94"/>
    <w:rsid w:val="0035142B"/>
    <w:rsid w:val="00351CEF"/>
    <w:rsid w:val="00351F41"/>
    <w:rsid w:val="00351FF8"/>
    <w:rsid w:val="00352146"/>
    <w:rsid w:val="00353C0D"/>
    <w:rsid w:val="00353EEA"/>
    <w:rsid w:val="00354C92"/>
    <w:rsid w:val="00356434"/>
    <w:rsid w:val="003565B4"/>
    <w:rsid w:val="003617E1"/>
    <w:rsid w:val="00361A28"/>
    <w:rsid w:val="00361D1C"/>
    <w:rsid w:val="00363985"/>
    <w:rsid w:val="00364F46"/>
    <w:rsid w:val="00365A78"/>
    <w:rsid w:val="00366130"/>
    <w:rsid w:val="00366DE0"/>
    <w:rsid w:val="00367B4F"/>
    <w:rsid w:val="00370140"/>
    <w:rsid w:val="0037076D"/>
    <w:rsid w:val="003711E2"/>
    <w:rsid w:val="00375A81"/>
    <w:rsid w:val="00376F3A"/>
    <w:rsid w:val="00377341"/>
    <w:rsid w:val="003817CA"/>
    <w:rsid w:val="00381830"/>
    <w:rsid w:val="00382A9B"/>
    <w:rsid w:val="00384AD6"/>
    <w:rsid w:val="003927E8"/>
    <w:rsid w:val="00394249"/>
    <w:rsid w:val="00394D04"/>
    <w:rsid w:val="00396EEB"/>
    <w:rsid w:val="003974C7"/>
    <w:rsid w:val="0039752B"/>
    <w:rsid w:val="003A0C38"/>
    <w:rsid w:val="003A20D4"/>
    <w:rsid w:val="003A3E32"/>
    <w:rsid w:val="003A40B7"/>
    <w:rsid w:val="003A446D"/>
    <w:rsid w:val="003A6D9D"/>
    <w:rsid w:val="003A7D83"/>
    <w:rsid w:val="003B00BA"/>
    <w:rsid w:val="003B0978"/>
    <w:rsid w:val="003B2277"/>
    <w:rsid w:val="003B2448"/>
    <w:rsid w:val="003B352A"/>
    <w:rsid w:val="003B37CC"/>
    <w:rsid w:val="003B50FB"/>
    <w:rsid w:val="003B52D9"/>
    <w:rsid w:val="003C065C"/>
    <w:rsid w:val="003C37ED"/>
    <w:rsid w:val="003C3F7A"/>
    <w:rsid w:val="003C46CE"/>
    <w:rsid w:val="003C4F9F"/>
    <w:rsid w:val="003C7254"/>
    <w:rsid w:val="003C7E4C"/>
    <w:rsid w:val="003D14FB"/>
    <w:rsid w:val="003D2CB5"/>
    <w:rsid w:val="003D2F05"/>
    <w:rsid w:val="003D43A5"/>
    <w:rsid w:val="003D48F0"/>
    <w:rsid w:val="003D5D0E"/>
    <w:rsid w:val="003D7212"/>
    <w:rsid w:val="003E06EE"/>
    <w:rsid w:val="003E0A82"/>
    <w:rsid w:val="003E1380"/>
    <w:rsid w:val="003E2B2A"/>
    <w:rsid w:val="003E323D"/>
    <w:rsid w:val="003E45EC"/>
    <w:rsid w:val="003E5316"/>
    <w:rsid w:val="003E56A5"/>
    <w:rsid w:val="003F0B25"/>
    <w:rsid w:val="003F1ABE"/>
    <w:rsid w:val="003F25ED"/>
    <w:rsid w:val="003F405E"/>
    <w:rsid w:val="003F4E45"/>
    <w:rsid w:val="003F6499"/>
    <w:rsid w:val="0040156E"/>
    <w:rsid w:val="0040443A"/>
    <w:rsid w:val="00405DA7"/>
    <w:rsid w:val="0040615F"/>
    <w:rsid w:val="00407890"/>
    <w:rsid w:val="004100B8"/>
    <w:rsid w:val="004115DF"/>
    <w:rsid w:val="00412401"/>
    <w:rsid w:val="004133D0"/>
    <w:rsid w:val="00413AF5"/>
    <w:rsid w:val="00413B9F"/>
    <w:rsid w:val="00413DA9"/>
    <w:rsid w:val="00416889"/>
    <w:rsid w:val="004177C8"/>
    <w:rsid w:val="00422A46"/>
    <w:rsid w:val="0042320E"/>
    <w:rsid w:val="00423642"/>
    <w:rsid w:val="004251C1"/>
    <w:rsid w:val="0042739D"/>
    <w:rsid w:val="00427800"/>
    <w:rsid w:val="00427BCC"/>
    <w:rsid w:val="0043145B"/>
    <w:rsid w:val="00432580"/>
    <w:rsid w:val="00433FCA"/>
    <w:rsid w:val="0043538C"/>
    <w:rsid w:val="00435A0E"/>
    <w:rsid w:val="00443C1A"/>
    <w:rsid w:val="00443FAB"/>
    <w:rsid w:val="004446F0"/>
    <w:rsid w:val="0044478A"/>
    <w:rsid w:val="004448D5"/>
    <w:rsid w:val="00444DA7"/>
    <w:rsid w:val="00445663"/>
    <w:rsid w:val="0044612A"/>
    <w:rsid w:val="00446F6F"/>
    <w:rsid w:val="00451346"/>
    <w:rsid w:val="00451A84"/>
    <w:rsid w:val="00453DFC"/>
    <w:rsid w:val="004551B7"/>
    <w:rsid w:val="00455435"/>
    <w:rsid w:val="0045715A"/>
    <w:rsid w:val="004622D1"/>
    <w:rsid w:val="00463AC1"/>
    <w:rsid w:val="0046623B"/>
    <w:rsid w:val="0046649D"/>
    <w:rsid w:val="0047034D"/>
    <w:rsid w:val="004712F2"/>
    <w:rsid w:val="00471939"/>
    <w:rsid w:val="00473CC3"/>
    <w:rsid w:val="00473F3E"/>
    <w:rsid w:val="00474F85"/>
    <w:rsid w:val="004807FD"/>
    <w:rsid w:val="00480AAA"/>
    <w:rsid w:val="00481E15"/>
    <w:rsid w:val="00485F32"/>
    <w:rsid w:val="004871BA"/>
    <w:rsid w:val="00491C31"/>
    <w:rsid w:val="0049385B"/>
    <w:rsid w:val="00494198"/>
    <w:rsid w:val="0049474E"/>
    <w:rsid w:val="004974DE"/>
    <w:rsid w:val="004977F0"/>
    <w:rsid w:val="004A00AA"/>
    <w:rsid w:val="004A2662"/>
    <w:rsid w:val="004A67AA"/>
    <w:rsid w:val="004A6834"/>
    <w:rsid w:val="004B1226"/>
    <w:rsid w:val="004B143B"/>
    <w:rsid w:val="004B1676"/>
    <w:rsid w:val="004B3749"/>
    <w:rsid w:val="004B375F"/>
    <w:rsid w:val="004C1E60"/>
    <w:rsid w:val="004C4B9D"/>
    <w:rsid w:val="004C4C33"/>
    <w:rsid w:val="004D05CE"/>
    <w:rsid w:val="004D14FE"/>
    <w:rsid w:val="004D2334"/>
    <w:rsid w:val="004D385C"/>
    <w:rsid w:val="004E32DC"/>
    <w:rsid w:val="004E4F03"/>
    <w:rsid w:val="004E59AB"/>
    <w:rsid w:val="004E6F9A"/>
    <w:rsid w:val="004F107E"/>
    <w:rsid w:val="004F2310"/>
    <w:rsid w:val="004F27AE"/>
    <w:rsid w:val="004F3396"/>
    <w:rsid w:val="004F3462"/>
    <w:rsid w:val="004F3C71"/>
    <w:rsid w:val="004F4526"/>
    <w:rsid w:val="004F6427"/>
    <w:rsid w:val="004F6F5D"/>
    <w:rsid w:val="004F789D"/>
    <w:rsid w:val="00501848"/>
    <w:rsid w:val="00501DC3"/>
    <w:rsid w:val="0050337D"/>
    <w:rsid w:val="00503F3F"/>
    <w:rsid w:val="0050420A"/>
    <w:rsid w:val="00505BB8"/>
    <w:rsid w:val="005062D4"/>
    <w:rsid w:val="005071A1"/>
    <w:rsid w:val="005126D5"/>
    <w:rsid w:val="00514378"/>
    <w:rsid w:val="00514984"/>
    <w:rsid w:val="005174BE"/>
    <w:rsid w:val="00521549"/>
    <w:rsid w:val="00521F4F"/>
    <w:rsid w:val="005234AF"/>
    <w:rsid w:val="0052404E"/>
    <w:rsid w:val="005245EE"/>
    <w:rsid w:val="005279E3"/>
    <w:rsid w:val="00530359"/>
    <w:rsid w:val="00531213"/>
    <w:rsid w:val="005324B8"/>
    <w:rsid w:val="00535651"/>
    <w:rsid w:val="00535994"/>
    <w:rsid w:val="00535FD1"/>
    <w:rsid w:val="005366B0"/>
    <w:rsid w:val="005374AD"/>
    <w:rsid w:val="0053778E"/>
    <w:rsid w:val="00540DC6"/>
    <w:rsid w:val="00542D8E"/>
    <w:rsid w:val="005439D4"/>
    <w:rsid w:val="00543CFC"/>
    <w:rsid w:val="005464F6"/>
    <w:rsid w:val="00546540"/>
    <w:rsid w:val="0054759A"/>
    <w:rsid w:val="00550DC0"/>
    <w:rsid w:val="0055247C"/>
    <w:rsid w:val="00552B1C"/>
    <w:rsid w:val="005535B6"/>
    <w:rsid w:val="00553AA1"/>
    <w:rsid w:val="0055431D"/>
    <w:rsid w:val="005546BE"/>
    <w:rsid w:val="00556B02"/>
    <w:rsid w:val="00557AA4"/>
    <w:rsid w:val="005620C1"/>
    <w:rsid w:val="0056289A"/>
    <w:rsid w:val="005643B1"/>
    <w:rsid w:val="00566C84"/>
    <w:rsid w:val="00566E04"/>
    <w:rsid w:val="00571260"/>
    <w:rsid w:val="005726E2"/>
    <w:rsid w:val="00572C78"/>
    <w:rsid w:val="005730E2"/>
    <w:rsid w:val="005735B5"/>
    <w:rsid w:val="00573E6C"/>
    <w:rsid w:val="005740BC"/>
    <w:rsid w:val="00574DA7"/>
    <w:rsid w:val="00574FC8"/>
    <w:rsid w:val="00576E76"/>
    <w:rsid w:val="00577226"/>
    <w:rsid w:val="0057770F"/>
    <w:rsid w:val="00577762"/>
    <w:rsid w:val="0058124A"/>
    <w:rsid w:val="005814AE"/>
    <w:rsid w:val="005842C2"/>
    <w:rsid w:val="005844EE"/>
    <w:rsid w:val="005861F6"/>
    <w:rsid w:val="005868B3"/>
    <w:rsid w:val="005874A8"/>
    <w:rsid w:val="00590BE3"/>
    <w:rsid w:val="0059103B"/>
    <w:rsid w:val="005914B3"/>
    <w:rsid w:val="00592184"/>
    <w:rsid w:val="00594CE9"/>
    <w:rsid w:val="005958E2"/>
    <w:rsid w:val="0059592F"/>
    <w:rsid w:val="00595B72"/>
    <w:rsid w:val="005969EA"/>
    <w:rsid w:val="00596AF4"/>
    <w:rsid w:val="005A1002"/>
    <w:rsid w:val="005A1AC5"/>
    <w:rsid w:val="005A2E6C"/>
    <w:rsid w:val="005A4B5A"/>
    <w:rsid w:val="005A4D23"/>
    <w:rsid w:val="005A7F7A"/>
    <w:rsid w:val="005A7F9A"/>
    <w:rsid w:val="005B0158"/>
    <w:rsid w:val="005B03FD"/>
    <w:rsid w:val="005B1449"/>
    <w:rsid w:val="005B1D0F"/>
    <w:rsid w:val="005B2A9E"/>
    <w:rsid w:val="005B4438"/>
    <w:rsid w:val="005B45E5"/>
    <w:rsid w:val="005B4655"/>
    <w:rsid w:val="005B67EA"/>
    <w:rsid w:val="005B6939"/>
    <w:rsid w:val="005C0F02"/>
    <w:rsid w:val="005C1693"/>
    <w:rsid w:val="005C3571"/>
    <w:rsid w:val="005C5FDA"/>
    <w:rsid w:val="005C664A"/>
    <w:rsid w:val="005C7609"/>
    <w:rsid w:val="005D3959"/>
    <w:rsid w:val="005D493B"/>
    <w:rsid w:val="005D4B12"/>
    <w:rsid w:val="005D59C3"/>
    <w:rsid w:val="005D5BA7"/>
    <w:rsid w:val="005E0440"/>
    <w:rsid w:val="005E05B9"/>
    <w:rsid w:val="005E0B91"/>
    <w:rsid w:val="005E3FBD"/>
    <w:rsid w:val="005E4314"/>
    <w:rsid w:val="005E7D66"/>
    <w:rsid w:val="005F0E66"/>
    <w:rsid w:val="005F2731"/>
    <w:rsid w:val="005F2DF4"/>
    <w:rsid w:val="005F3A44"/>
    <w:rsid w:val="005F4CBA"/>
    <w:rsid w:val="005F4DBF"/>
    <w:rsid w:val="005F500B"/>
    <w:rsid w:val="005F5CA8"/>
    <w:rsid w:val="005F6652"/>
    <w:rsid w:val="005F7CFF"/>
    <w:rsid w:val="005F7F3D"/>
    <w:rsid w:val="00603B66"/>
    <w:rsid w:val="006040EA"/>
    <w:rsid w:val="006048DA"/>
    <w:rsid w:val="0060493B"/>
    <w:rsid w:val="00610241"/>
    <w:rsid w:val="00611151"/>
    <w:rsid w:val="006139C9"/>
    <w:rsid w:val="00617938"/>
    <w:rsid w:val="00617C98"/>
    <w:rsid w:val="00620414"/>
    <w:rsid w:val="0062114D"/>
    <w:rsid w:val="006240C3"/>
    <w:rsid w:val="0062582E"/>
    <w:rsid w:val="00626240"/>
    <w:rsid w:val="006265DD"/>
    <w:rsid w:val="00626DB0"/>
    <w:rsid w:val="00627298"/>
    <w:rsid w:val="00627A32"/>
    <w:rsid w:val="0063085E"/>
    <w:rsid w:val="00630E6F"/>
    <w:rsid w:val="00631676"/>
    <w:rsid w:val="006321F1"/>
    <w:rsid w:val="006323D9"/>
    <w:rsid w:val="00634810"/>
    <w:rsid w:val="00636DBC"/>
    <w:rsid w:val="00636F65"/>
    <w:rsid w:val="0063768B"/>
    <w:rsid w:val="00637B42"/>
    <w:rsid w:val="00637EBC"/>
    <w:rsid w:val="00640D21"/>
    <w:rsid w:val="00641482"/>
    <w:rsid w:val="00641CF6"/>
    <w:rsid w:val="00642BAB"/>
    <w:rsid w:val="00644F77"/>
    <w:rsid w:val="00646571"/>
    <w:rsid w:val="00646854"/>
    <w:rsid w:val="006505FC"/>
    <w:rsid w:val="00650BE3"/>
    <w:rsid w:val="00651E88"/>
    <w:rsid w:val="006524EB"/>
    <w:rsid w:val="00652F60"/>
    <w:rsid w:val="00654BA1"/>
    <w:rsid w:val="0065793A"/>
    <w:rsid w:val="006608F0"/>
    <w:rsid w:val="00661505"/>
    <w:rsid w:val="006615EC"/>
    <w:rsid w:val="00661F14"/>
    <w:rsid w:val="006621DD"/>
    <w:rsid w:val="00662F2C"/>
    <w:rsid w:val="006634DB"/>
    <w:rsid w:val="00664470"/>
    <w:rsid w:val="00666F49"/>
    <w:rsid w:val="00667E95"/>
    <w:rsid w:val="006707C9"/>
    <w:rsid w:val="00671347"/>
    <w:rsid w:val="00672110"/>
    <w:rsid w:val="00672B1D"/>
    <w:rsid w:val="006762A6"/>
    <w:rsid w:val="00676723"/>
    <w:rsid w:val="0068074A"/>
    <w:rsid w:val="00680AA3"/>
    <w:rsid w:val="00683B1E"/>
    <w:rsid w:val="0068597C"/>
    <w:rsid w:val="00687A64"/>
    <w:rsid w:val="006906B5"/>
    <w:rsid w:val="00691A2A"/>
    <w:rsid w:val="00691B79"/>
    <w:rsid w:val="00691DC6"/>
    <w:rsid w:val="00694034"/>
    <w:rsid w:val="00695132"/>
    <w:rsid w:val="00696387"/>
    <w:rsid w:val="0069712B"/>
    <w:rsid w:val="0069775F"/>
    <w:rsid w:val="00697D5C"/>
    <w:rsid w:val="006A6AA6"/>
    <w:rsid w:val="006A7E51"/>
    <w:rsid w:val="006A7E87"/>
    <w:rsid w:val="006B1034"/>
    <w:rsid w:val="006B1328"/>
    <w:rsid w:val="006B2A9F"/>
    <w:rsid w:val="006B3A65"/>
    <w:rsid w:val="006B4E07"/>
    <w:rsid w:val="006B57C8"/>
    <w:rsid w:val="006B6710"/>
    <w:rsid w:val="006B7195"/>
    <w:rsid w:val="006B7C04"/>
    <w:rsid w:val="006C10EB"/>
    <w:rsid w:val="006C2BB6"/>
    <w:rsid w:val="006C489D"/>
    <w:rsid w:val="006C496B"/>
    <w:rsid w:val="006C6C19"/>
    <w:rsid w:val="006C6CBC"/>
    <w:rsid w:val="006C735F"/>
    <w:rsid w:val="006D0BAB"/>
    <w:rsid w:val="006D173E"/>
    <w:rsid w:val="006D20EB"/>
    <w:rsid w:val="006D2207"/>
    <w:rsid w:val="006D31C5"/>
    <w:rsid w:val="006D3288"/>
    <w:rsid w:val="006D4B11"/>
    <w:rsid w:val="006D5D29"/>
    <w:rsid w:val="006D5F7E"/>
    <w:rsid w:val="006D7316"/>
    <w:rsid w:val="006D73D3"/>
    <w:rsid w:val="006D7E78"/>
    <w:rsid w:val="006E27D7"/>
    <w:rsid w:val="006E5A6D"/>
    <w:rsid w:val="006E6147"/>
    <w:rsid w:val="006F0F99"/>
    <w:rsid w:val="006F2330"/>
    <w:rsid w:val="006F34C8"/>
    <w:rsid w:val="006F3CAA"/>
    <w:rsid w:val="006F41CC"/>
    <w:rsid w:val="006F57C3"/>
    <w:rsid w:val="006F590A"/>
    <w:rsid w:val="006F5CD9"/>
    <w:rsid w:val="006F6A68"/>
    <w:rsid w:val="006F6E31"/>
    <w:rsid w:val="006F71F5"/>
    <w:rsid w:val="00700CA4"/>
    <w:rsid w:val="007024AE"/>
    <w:rsid w:val="00702FCF"/>
    <w:rsid w:val="00703823"/>
    <w:rsid w:val="0070420E"/>
    <w:rsid w:val="00710887"/>
    <w:rsid w:val="00712337"/>
    <w:rsid w:val="00712E65"/>
    <w:rsid w:val="00713B89"/>
    <w:rsid w:val="00715694"/>
    <w:rsid w:val="00717834"/>
    <w:rsid w:val="007218AB"/>
    <w:rsid w:val="00722A4D"/>
    <w:rsid w:val="007235E9"/>
    <w:rsid w:val="00724BD4"/>
    <w:rsid w:val="00724E01"/>
    <w:rsid w:val="007263C8"/>
    <w:rsid w:val="00727041"/>
    <w:rsid w:val="007308C8"/>
    <w:rsid w:val="00731FC9"/>
    <w:rsid w:val="007325F1"/>
    <w:rsid w:val="0073284C"/>
    <w:rsid w:val="0073483F"/>
    <w:rsid w:val="00735228"/>
    <w:rsid w:val="007361E1"/>
    <w:rsid w:val="0073730E"/>
    <w:rsid w:val="0074374B"/>
    <w:rsid w:val="00745DE0"/>
    <w:rsid w:val="00746335"/>
    <w:rsid w:val="007463F9"/>
    <w:rsid w:val="00746845"/>
    <w:rsid w:val="00751579"/>
    <w:rsid w:val="00753011"/>
    <w:rsid w:val="007531FD"/>
    <w:rsid w:val="00754699"/>
    <w:rsid w:val="00754942"/>
    <w:rsid w:val="00754EBF"/>
    <w:rsid w:val="00755B42"/>
    <w:rsid w:val="00755F37"/>
    <w:rsid w:val="00756D59"/>
    <w:rsid w:val="00757259"/>
    <w:rsid w:val="0076083C"/>
    <w:rsid w:val="00760F63"/>
    <w:rsid w:val="007612C8"/>
    <w:rsid w:val="00761BE9"/>
    <w:rsid w:val="00762489"/>
    <w:rsid w:val="0076391F"/>
    <w:rsid w:val="00765F25"/>
    <w:rsid w:val="00770A33"/>
    <w:rsid w:val="00770CFE"/>
    <w:rsid w:val="00770D87"/>
    <w:rsid w:val="00771286"/>
    <w:rsid w:val="007761FC"/>
    <w:rsid w:val="0077653F"/>
    <w:rsid w:val="00780734"/>
    <w:rsid w:val="007811D0"/>
    <w:rsid w:val="0078174E"/>
    <w:rsid w:val="00781FD6"/>
    <w:rsid w:val="00783798"/>
    <w:rsid w:val="00784235"/>
    <w:rsid w:val="00785C58"/>
    <w:rsid w:val="007869B0"/>
    <w:rsid w:val="00786D47"/>
    <w:rsid w:val="00787DC4"/>
    <w:rsid w:val="00793719"/>
    <w:rsid w:val="007942C0"/>
    <w:rsid w:val="007943EA"/>
    <w:rsid w:val="00794888"/>
    <w:rsid w:val="00794C19"/>
    <w:rsid w:val="00795E65"/>
    <w:rsid w:val="007A03DE"/>
    <w:rsid w:val="007A072C"/>
    <w:rsid w:val="007A17D2"/>
    <w:rsid w:val="007A34BC"/>
    <w:rsid w:val="007A3585"/>
    <w:rsid w:val="007A7B54"/>
    <w:rsid w:val="007A7DB0"/>
    <w:rsid w:val="007B109C"/>
    <w:rsid w:val="007B264A"/>
    <w:rsid w:val="007B2F34"/>
    <w:rsid w:val="007B3BB1"/>
    <w:rsid w:val="007B417A"/>
    <w:rsid w:val="007B7BF9"/>
    <w:rsid w:val="007C1B75"/>
    <w:rsid w:val="007C1FC2"/>
    <w:rsid w:val="007C2D0B"/>
    <w:rsid w:val="007C3C97"/>
    <w:rsid w:val="007C4C0F"/>
    <w:rsid w:val="007C6657"/>
    <w:rsid w:val="007C6C31"/>
    <w:rsid w:val="007C6CEE"/>
    <w:rsid w:val="007C6EDB"/>
    <w:rsid w:val="007C7BBD"/>
    <w:rsid w:val="007D25B6"/>
    <w:rsid w:val="007D3FB3"/>
    <w:rsid w:val="007D5006"/>
    <w:rsid w:val="007D53C1"/>
    <w:rsid w:val="007D652F"/>
    <w:rsid w:val="007D71DC"/>
    <w:rsid w:val="007D789A"/>
    <w:rsid w:val="007E0365"/>
    <w:rsid w:val="007E2415"/>
    <w:rsid w:val="007E3198"/>
    <w:rsid w:val="007E348A"/>
    <w:rsid w:val="007E4CF8"/>
    <w:rsid w:val="007E5A73"/>
    <w:rsid w:val="007E6575"/>
    <w:rsid w:val="007E6CEC"/>
    <w:rsid w:val="007E79BD"/>
    <w:rsid w:val="007E7A85"/>
    <w:rsid w:val="007F034B"/>
    <w:rsid w:val="007F0669"/>
    <w:rsid w:val="007F43CB"/>
    <w:rsid w:val="007F6140"/>
    <w:rsid w:val="007F6A85"/>
    <w:rsid w:val="007F6D44"/>
    <w:rsid w:val="007F7155"/>
    <w:rsid w:val="007F71D1"/>
    <w:rsid w:val="0080081C"/>
    <w:rsid w:val="0080174C"/>
    <w:rsid w:val="00801BA4"/>
    <w:rsid w:val="008032AC"/>
    <w:rsid w:val="00807892"/>
    <w:rsid w:val="00807B82"/>
    <w:rsid w:val="00811849"/>
    <w:rsid w:val="0081416D"/>
    <w:rsid w:val="0081729B"/>
    <w:rsid w:val="0082131A"/>
    <w:rsid w:val="00822C04"/>
    <w:rsid w:val="00823314"/>
    <w:rsid w:val="00823CC4"/>
    <w:rsid w:val="00826685"/>
    <w:rsid w:val="00826A9D"/>
    <w:rsid w:val="008302E9"/>
    <w:rsid w:val="00830D63"/>
    <w:rsid w:val="00831393"/>
    <w:rsid w:val="00832161"/>
    <w:rsid w:val="00833BAC"/>
    <w:rsid w:val="008343EC"/>
    <w:rsid w:val="00836D22"/>
    <w:rsid w:val="0084013A"/>
    <w:rsid w:val="00843415"/>
    <w:rsid w:val="00843F5F"/>
    <w:rsid w:val="00852519"/>
    <w:rsid w:val="00852601"/>
    <w:rsid w:val="00852674"/>
    <w:rsid w:val="00853BAD"/>
    <w:rsid w:val="0085411F"/>
    <w:rsid w:val="0085535D"/>
    <w:rsid w:val="00856881"/>
    <w:rsid w:val="00856C33"/>
    <w:rsid w:val="00856CDC"/>
    <w:rsid w:val="008608D6"/>
    <w:rsid w:val="008623B6"/>
    <w:rsid w:val="0086363D"/>
    <w:rsid w:val="00864AC7"/>
    <w:rsid w:val="00867737"/>
    <w:rsid w:val="008679C1"/>
    <w:rsid w:val="008703CA"/>
    <w:rsid w:val="00870EE7"/>
    <w:rsid w:val="00871A80"/>
    <w:rsid w:val="00871CF9"/>
    <w:rsid w:val="0087206A"/>
    <w:rsid w:val="00874901"/>
    <w:rsid w:val="00874A7F"/>
    <w:rsid w:val="0087509C"/>
    <w:rsid w:val="00875A4E"/>
    <w:rsid w:val="0088028A"/>
    <w:rsid w:val="00880F8A"/>
    <w:rsid w:val="008825BD"/>
    <w:rsid w:val="00882875"/>
    <w:rsid w:val="00883B97"/>
    <w:rsid w:val="008843E9"/>
    <w:rsid w:val="008858CC"/>
    <w:rsid w:val="0088603C"/>
    <w:rsid w:val="00886A16"/>
    <w:rsid w:val="00890164"/>
    <w:rsid w:val="008901C3"/>
    <w:rsid w:val="00893518"/>
    <w:rsid w:val="00895DB6"/>
    <w:rsid w:val="008A0DD9"/>
    <w:rsid w:val="008A1B43"/>
    <w:rsid w:val="008A358D"/>
    <w:rsid w:val="008A42EC"/>
    <w:rsid w:val="008A4460"/>
    <w:rsid w:val="008A7AFE"/>
    <w:rsid w:val="008B1D4E"/>
    <w:rsid w:val="008B219F"/>
    <w:rsid w:val="008B2F5B"/>
    <w:rsid w:val="008B2F90"/>
    <w:rsid w:val="008B4E20"/>
    <w:rsid w:val="008B5009"/>
    <w:rsid w:val="008B55A5"/>
    <w:rsid w:val="008B6B6E"/>
    <w:rsid w:val="008B7711"/>
    <w:rsid w:val="008C0616"/>
    <w:rsid w:val="008C1D82"/>
    <w:rsid w:val="008C2489"/>
    <w:rsid w:val="008C4D00"/>
    <w:rsid w:val="008C6575"/>
    <w:rsid w:val="008D0367"/>
    <w:rsid w:val="008D0EC7"/>
    <w:rsid w:val="008D4124"/>
    <w:rsid w:val="008D4A1F"/>
    <w:rsid w:val="008D4C17"/>
    <w:rsid w:val="008D5445"/>
    <w:rsid w:val="008D62D9"/>
    <w:rsid w:val="008D7234"/>
    <w:rsid w:val="008E048D"/>
    <w:rsid w:val="008E14F7"/>
    <w:rsid w:val="008E1E2E"/>
    <w:rsid w:val="008E3762"/>
    <w:rsid w:val="008E47B9"/>
    <w:rsid w:val="008E55D8"/>
    <w:rsid w:val="008E5825"/>
    <w:rsid w:val="008E6333"/>
    <w:rsid w:val="008E7C4E"/>
    <w:rsid w:val="008F1180"/>
    <w:rsid w:val="008F2E1F"/>
    <w:rsid w:val="008F50A6"/>
    <w:rsid w:val="008F5526"/>
    <w:rsid w:val="008F75F9"/>
    <w:rsid w:val="008F7ED2"/>
    <w:rsid w:val="008F7F27"/>
    <w:rsid w:val="0090001D"/>
    <w:rsid w:val="00900080"/>
    <w:rsid w:val="00903816"/>
    <w:rsid w:val="0090433D"/>
    <w:rsid w:val="00904669"/>
    <w:rsid w:val="00905816"/>
    <w:rsid w:val="00907E3F"/>
    <w:rsid w:val="00912572"/>
    <w:rsid w:val="00912A6C"/>
    <w:rsid w:val="0091309D"/>
    <w:rsid w:val="009153FB"/>
    <w:rsid w:val="009154A8"/>
    <w:rsid w:val="00916271"/>
    <w:rsid w:val="009171F3"/>
    <w:rsid w:val="009172AB"/>
    <w:rsid w:val="00917CF0"/>
    <w:rsid w:val="00917EDD"/>
    <w:rsid w:val="0092153F"/>
    <w:rsid w:val="00921AEE"/>
    <w:rsid w:val="0092481B"/>
    <w:rsid w:val="00924D8D"/>
    <w:rsid w:val="00925649"/>
    <w:rsid w:val="00926CA7"/>
    <w:rsid w:val="00926E3F"/>
    <w:rsid w:val="0092760C"/>
    <w:rsid w:val="00930241"/>
    <w:rsid w:val="009304DB"/>
    <w:rsid w:val="0093189A"/>
    <w:rsid w:val="0093388C"/>
    <w:rsid w:val="0093449E"/>
    <w:rsid w:val="00940103"/>
    <w:rsid w:val="00941108"/>
    <w:rsid w:val="00941E75"/>
    <w:rsid w:val="009426EF"/>
    <w:rsid w:val="009440CF"/>
    <w:rsid w:val="009460F1"/>
    <w:rsid w:val="009468F2"/>
    <w:rsid w:val="009510E0"/>
    <w:rsid w:val="0095184E"/>
    <w:rsid w:val="00951FBB"/>
    <w:rsid w:val="00952CAF"/>
    <w:rsid w:val="00953023"/>
    <w:rsid w:val="00953A48"/>
    <w:rsid w:val="00953B94"/>
    <w:rsid w:val="00957A6B"/>
    <w:rsid w:val="00960047"/>
    <w:rsid w:val="00961320"/>
    <w:rsid w:val="0096251D"/>
    <w:rsid w:val="0096460F"/>
    <w:rsid w:val="0096473C"/>
    <w:rsid w:val="00964CA9"/>
    <w:rsid w:val="00965AB8"/>
    <w:rsid w:val="00967854"/>
    <w:rsid w:val="00970DD6"/>
    <w:rsid w:val="00971098"/>
    <w:rsid w:val="0097112B"/>
    <w:rsid w:val="00971D1E"/>
    <w:rsid w:val="00972BCB"/>
    <w:rsid w:val="00973191"/>
    <w:rsid w:val="00973E85"/>
    <w:rsid w:val="00974340"/>
    <w:rsid w:val="00975653"/>
    <w:rsid w:val="0097566E"/>
    <w:rsid w:val="00980330"/>
    <w:rsid w:val="00982074"/>
    <w:rsid w:val="0098291E"/>
    <w:rsid w:val="00982D80"/>
    <w:rsid w:val="009846B2"/>
    <w:rsid w:val="0099239B"/>
    <w:rsid w:val="0099440D"/>
    <w:rsid w:val="00994793"/>
    <w:rsid w:val="00994E45"/>
    <w:rsid w:val="00997EE1"/>
    <w:rsid w:val="009A1F69"/>
    <w:rsid w:val="009A369C"/>
    <w:rsid w:val="009A3F11"/>
    <w:rsid w:val="009A4F41"/>
    <w:rsid w:val="009A587D"/>
    <w:rsid w:val="009A791C"/>
    <w:rsid w:val="009A7B7B"/>
    <w:rsid w:val="009B2088"/>
    <w:rsid w:val="009B47FE"/>
    <w:rsid w:val="009B4A50"/>
    <w:rsid w:val="009B7869"/>
    <w:rsid w:val="009C0239"/>
    <w:rsid w:val="009C0E02"/>
    <w:rsid w:val="009C3FCD"/>
    <w:rsid w:val="009C43B1"/>
    <w:rsid w:val="009C66A8"/>
    <w:rsid w:val="009D0624"/>
    <w:rsid w:val="009D096E"/>
    <w:rsid w:val="009D21B5"/>
    <w:rsid w:val="009D279B"/>
    <w:rsid w:val="009D4DE8"/>
    <w:rsid w:val="009D51BB"/>
    <w:rsid w:val="009D7DCA"/>
    <w:rsid w:val="009E05D4"/>
    <w:rsid w:val="009E2FF1"/>
    <w:rsid w:val="009E3D9B"/>
    <w:rsid w:val="009E40F1"/>
    <w:rsid w:val="009E4C43"/>
    <w:rsid w:val="009E67CB"/>
    <w:rsid w:val="009E695F"/>
    <w:rsid w:val="009F2DE5"/>
    <w:rsid w:val="009F418B"/>
    <w:rsid w:val="009F429C"/>
    <w:rsid w:val="009F59EE"/>
    <w:rsid w:val="009F5A46"/>
    <w:rsid w:val="009F61B5"/>
    <w:rsid w:val="009F7176"/>
    <w:rsid w:val="009F7715"/>
    <w:rsid w:val="009F7BE6"/>
    <w:rsid w:val="00A01958"/>
    <w:rsid w:val="00A0243B"/>
    <w:rsid w:val="00A033A8"/>
    <w:rsid w:val="00A06652"/>
    <w:rsid w:val="00A119CB"/>
    <w:rsid w:val="00A12C80"/>
    <w:rsid w:val="00A13262"/>
    <w:rsid w:val="00A15083"/>
    <w:rsid w:val="00A2083E"/>
    <w:rsid w:val="00A23F93"/>
    <w:rsid w:val="00A251B7"/>
    <w:rsid w:val="00A25B25"/>
    <w:rsid w:val="00A2616D"/>
    <w:rsid w:val="00A262B2"/>
    <w:rsid w:val="00A30088"/>
    <w:rsid w:val="00A317E9"/>
    <w:rsid w:val="00A32F16"/>
    <w:rsid w:val="00A33820"/>
    <w:rsid w:val="00A356F6"/>
    <w:rsid w:val="00A41FFD"/>
    <w:rsid w:val="00A44181"/>
    <w:rsid w:val="00A449A7"/>
    <w:rsid w:val="00A47E88"/>
    <w:rsid w:val="00A50537"/>
    <w:rsid w:val="00A50FF7"/>
    <w:rsid w:val="00A51ED5"/>
    <w:rsid w:val="00A540D8"/>
    <w:rsid w:val="00A54938"/>
    <w:rsid w:val="00A55FF4"/>
    <w:rsid w:val="00A5681A"/>
    <w:rsid w:val="00A609E2"/>
    <w:rsid w:val="00A61B3D"/>
    <w:rsid w:val="00A62B2F"/>
    <w:rsid w:val="00A63E9F"/>
    <w:rsid w:val="00A66263"/>
    <w:rsid w:val="00A6634C"/>
    <w:rsid w:val="00A66A58"/>
    <w:rsid w:val="00A67C26"/>
    <w:rsid w:val="00A70BFD"/>
    <w:rsid w:val="00A71429"/>
    <w:rsid w:val="00A716BB"/>
    <w:rsid w:val="00A716DA"/>
    <w:rsid w:val="00A71907"/>
    <w:rsid w:val="00A7262E"/>
    <w:rsid w:val="00A7652F"/>
    <w:rsid w:val="00A77602"/>
    <w:rsid w:val="00A77C37"/>
    <w:rsid w:val="00A80D19"/>
    <w:rsid w:val="00A82822"/>
    <w:rsid w:val="00A87E4C"/>
    <w:rsid w:val="00A9058B"/>
    <w:rsid w:val="00A91845"/>
    <w:rsid w:val="00A91B4B"/>
    <w:rsid w:val="00A920BE"/>
    <w:rsid w:val="00A94ECB"/>
    <w:rsid w:val="00A96FE1"/>
    <w:rsid w:val="00A9782C"/>
    <w:rsid w:val="00AA04A0"/>
    <w:rsid w:val="00AA2310"/>
    <w:rsid w:val="00AA2878"/>
    <w:rsid w:val="00AB0DEF"/>
    <w:rsid w:val="00AB26A8"/>
    <w:rsid w:val="00AB3296"/>
    <w:rsid w:val="00AB3C1B"/>
    <w:rsid w:val="00AB5442"/>
    <w:rsid w:val="00AB753F"/>
    <w:rsid w:val="00AC0E9F"/>
    <w:rsid w:val="00AC0F71"/>
    <w:rsid w:val="00AC1AD3"/>
    <w:rsid w:val="00AC1DCC"/>
    <w:rsid w:val="00AC2047"/>
    <w:rsid w:val="00AC318C"/>
    <w:rsid w:val="00AC3907"/>
    <w:rsid w:val="00AC6EF8"/>
    <w:rsid w:val="00AD0166"/>
    <w:rsid w:val="00AD1BFC"/>
    <w:rsid w:val="00AD1D6A"/>
    <w:rsid w:val="00AD22EF"/>
    <w:rsid w:val="00AD4420"/>
    <w:rsid w:val="00AD5A4A"/>
    <w:rsid w:val="00AD5A7B"/>
    <w:rsid w:val="00AD758E"/>
    <w:rsid w:val="00AD7BA1"/>
    <w:rsid w:val="00AD7E83"/>
    <w:rsid w:val="00AE00CB"/>
    <w:rsid w:val="00AE0B76"/>
    <w:rsid w:val="00AE2251"/>
    <w:rsid w:val="00AE2314"/>
    <w:rsid w:val="00AE2C0E"/>
    <w:rsid w:val="00AE40FF"/>
    <w:rsid w:val="00AE5CAD"/>
    <w:rsid w:val="00AE60C3"/>
    <w:rsid w:val="00AF0F80"/>
    <w:rsid w:val="00AF26B6"/>
    <w:rsid w:val="00AF2C7C"/>
    <w:rsid w:val="00AF430E"/>
    <w:rsid w:val="00AF44DF"/>
    <w:rsid w:val="00AF6CCC"/>
    <w:rsid w:val="00AF6D4A"/>
    <w:rsid w:val="00AF6E9A"/>
    <w:rsid w:val="00AF6F56"/>
    <w:rsid w:val="00AF7B2A"/>
    <w:rsid w:val="00B001E3"/>
    <w:rsid w:val="00B00BFE"/>
    <w:rsid w:val="00B01353"/>
    <w:rsid w:val="00B01B38"/>
    <w:rsid w:val="00B01CC3"/>
    <w:rsid w:val="00B025D8"/>
    <w:rsid w:val="00B03BD1"/>
    <w:rsid w:val="00B04AD1"/>
    <w:rsid w:val="00B06B2A"/>
    <w:rsid w:val="00B11118"/>
    <w:rsid w:val="00B11772"/>
    <w:rsid w:val="00B11E4C"/>
    <w:rsid w:val="00B121FB"/>
    <w:rsid w:val="00B13651"/>
    <w:rsid w:val="00B1443A"/>
    <w:rsid w:val="00B1593F"/>
    <w:rsid w:val="00B16740"/>
    <w:rsid w:val="00B16D8C"/>
    <w:rsid w:val="00B16E96"/>
    <w:rsid w:val="00B22CFF"/>
    <w:rsid w:val="00B22FF3"/>
    <w:rsid w:val="00B24518"/>
    <w:rsid w:val="00B24CF1"/>
    <w:rsid w:val="00B2607A"/>
    <w:rsid w:val="00B26CAD"/>
    <w:rsid w:val="00B27E57"/>
    <w:rsid w:val="00B301FF"/>
    <w:rsid w:val="00B309FB"/>
    <w:rsid w:val="00B31E29"/>
    <w:rsid w:val="00B32FA0"/>
    <w:rsid w:val="00B3340A"/>
    <w:rsid w:val="00B358A4"/>
    <w:rsid w:val="00B35BC9"/>
    <w:rsid w:val="00B36BF7"/>
    <w:rsid w:val="00B37371"/>
    <w:rsid w:val="00B405C5"/>
    <w:rsid w:val="00B406D3"/>
    <w:rsid w:val="00B40DE7"/>
    <w:rsid w:val="00B41F89"/>
    <w:rsid w:val="00B42AD8"/>
    <w:rsid w:val="00B42CF6"/>
    <w:rsid w:val="00B435E4"/>
    <w:rsid w:val="00B44348"/>
    <w:rsid w:val="00B4559F"/>
    <w:rsid w:val="00B455A9"/>
    <w:rsid w:val="00B45F67"/>
    <w:rsid w:val="00B460EB"/>
    <w:rsid w:val="00B469B0"/>
    <w:rsid w:val="00B47994"/>
    <w:rsid w:val="00B5049A"/>
    <w:rsid w:val="00B5080A"/>
    <w:rsid w:val="00B51BAC"/>
    <w:rsid w:val="00B530CB"/>
    <w:rsid w:val="00B53541"/>
    <w:rsid w:val="00B53750"/>
    <w:rsid w:val="00B54F4E"/>
    <w:rsid w:val="00B55812"/>
    <w:rsid w:val="00B55DE5"/>
    <w:rsid w:val="00B56499"/>
    <w:rsid w:val="00B618E2"/>
    <w:rsid w:val="00B66C15"/>
    <w:rsid w:val="00B6733A"/>
    <w:rsid w:val="00B70EDE"/>
    <w:rsid w:val="00B7198C"/>
    <w:rsid w:val="00B7273A"/>
    <w:rsid w:val="00B73084"/>
    <w:rsid w:val="00B74140"/>
    <w:rsid w:val="00B747C7"/>
    <w:rsid w:val="00B7582D"/>
    <w:rsid w:val="00B77D2C"/>
    <w:rsid w:val="00B77E40"/>
    <w:rsid w:val="00B80098"/>
    <w:rsid w:val="00B83F85"/>
    <w:rsid w:val="00B84AFB"/>
    <w:rsid w:val="00B84E47"/>
    <w:rsid w:val="00B8670C"/>
    <w:rsid w:val="00B92B04"/>
    <w:rsid w:val="00B92BAA"/>
    <w:rsid w:val="00B92CFF"/>
    <w:rsid w:val="00B9419F"/>
    <w:rsid w:val="00B96DC9"/>
    <w:rsid w:val="00B97169"/>
    <w:rsid w:val="00BA296A"/>
    <w:rsid w:val="00BA3017"/>
    <w:rsid w:val="00BA3756"/>
    <w:rsid w:val="00BA4875"/>
    <w:rsid w:val="00BA55E3"/>
    <w:rsid w:val="00BA7B76"/>
    <w:rsid w:val="00BB2BBE"/>
    <w:rsid w:val="00BB3EE9"/>
    <w:rsid w:val="00BB4FD3"/>
    <w:rsid w:val="00BB5D58"/>
    <w:rsid w:val="00BB6E7E"/>
    <w:rsid w:val="00BB7C71"/>
    <w:rsid w:val="00BC09F1"/>
    <w:rsid w:val="00BC2073"/>
    <w:rsid w:val="00BC3961"/>
    <w:rsid w:val="00BC4112"/>
    <w:rsid w:val="00BC4391"/>
    <w:rsid w:val="00BC5453"/>
    <w:rsid w:val="00BC68EF"/>
    <w:rsid w:val="00BC6B44"/>
    <w:rsid w:val="00BC7C7E"/>
    <w:rsid w:val="00BD0846"/>
    <w:rsid w:val="00BD41B1"/>
    <w:rsid w:val="00BD43AD"/>
    <w:rsid w:val="00BD5771"/>
    <w:rsid w:val="00BD73AD"/>
    <w:rsid w:val="00BD7527"/>
    <w:rsid w:val="00BD7653"/>
    <w:rsid w:val="00BD7ADB"/>
    <w:rsid w:val="00BE1530"/>
    <w:rsid w:val="00BE1CFB"/>
    <w:rsid w:val="00BE29C1"/>
    <w:rsid w:val="00BE3CF8"/>
    <w:rsid w:val="00BE5AE5"/>
    <w:rsid w:val="00BE6679"/>
    <w:rsid w:val="00BF0089"/>
    <w:rsid w:val="00BF05CA"/>
    <w:rsid w:val="00BF0608"/>
    <w:rsid w:val="00BF145A"/>
    <w:rsid w:val="00BF16FB"/>
    <w:rsid w:val="00BF1CFB"/>
    <w:rsid w:val="00BF1E76"/>
    <w:rsid w:val="00BF3188"/>
    <w:rsid w:val="00BF447E"/>
    <w:rsid w:val="00BF770F"/>
    <w:rsid w:val="00BF782E"/>
    <w:rsid w:val="00BF7A47"/>
    <w:rsid w:val="00C00E61"/>
    <w:rsid w:val="00C0135F"/>
    <w:rsid w:val="00C01439"/>
    <w:rsid w:val="00C01B9B"/>
    <w:rsid w:val="00C01E2D"/>
    <w:rsid w:val="00C01FD9"/>
    <w:rsid w:val="00C0494D"/>
    <w:rsid w:val="00C05CED"/>
    <w:rsid w:val="00C05D0F"/>
    <w:rsid w:val="00C0772B"/>
    <w:rsid w:val="00C10391"/>
    <w:rsid w:val="00C114E0"/>
    <w:rsid w:val="00C13255"/>
    <w:rsid w:val="00C14C1E"/>
    <w:rsid w:val="00C23277"/>
    <w:rsid w:val="00C24897"/>
    <w:rsid w:val="00C25E72"/>
    <w:rsid w:val="00C2622C"/>
    <w:rsid w:val="00C270A8"/>
    <w:rsid w:val="00C30A97"/>
    <w:rsid w:val="00C31876"/>
    <w:rsid w:val="00C338AA"/>
    <w:rsid w:val="00C358F1"/>
    <w:rsid w:val="00C37869"/>
    <w:rsid w:val="00C40F00"/>
    <w:rsid w:val="00C4501E"/>
    <w:rsid w:val="00C451D0"/>
    <w:rsid w:val="00C4527D"/>
    <w:rsid w:val="00C4574F"/>
    <w:rsid w:val="00C4577E"/>
    <w:rsid w:val="00C471EF"/>
    <w:rsid w:val="00C47634"/>
    <w:rsid w:val="00C47E88"/>
    <w:rsid w:val="00C50978"/>
    <w:rsid w:val="00C50D0E"/>
    <w:rsid w:val="00C511EC"/>
    <w:rsid w:val="00C51572"/>
    <w:rsid w:val="00C51BD9"/>
    <w:rsid w:val="00C51BFF"/>
    <w:rsid w:val="00C522CE"/>
    <w:rsid w:val="00C53A62"/>
    <w:rsid w:val="00C554E4"/>
    <w:rsid w:val="00C55A53"/>
    <w:rsid w:val="00C55BC6"/>
    <w:rsid w:val="00C55E72"/>
    <w:rsid w:val="00C5697D"/>
    <w:rsid w:val="00C57A0D"/>
    <w:rsid w:val="00C57B84"/>
    <w:rsid w:val="00C603C4"/>
    <w:rsid w:val="00C611A9"/>
    <w:rsid w:val="00C614EC"/>
    <w:rsid w:val="00C619C5"/>
    <w:rsid w:val="00C62E66"/>
    <w:rsid w:val="00C63B4C"/>
    <w:rsid w:val="00C66ABB"/>
    <w:rsid w:val="00C67AC5"/>
    <w:rsid w:val="00C70280"/>
    <w:rsid w:val="00C71634"/>
    <w:rsid w:val="00C72273"/>
    <w:rsid w:val="00C72C63"/>
    <w:rsid w:val="00C72F9A"/>
    <w:rsid w:val="00C8001F"/>
    <w:rsid w:val="00C80710"/>
    <w:rsid w:val="00C8071C"/>
    <w:rsid w:val="00C8167A"/>
    <w:rsid w:val="00C82A88"/>
    <w:rsid w:val="00C83FDE"/>
    <w:rsid w:val="00C84753"/>
    <w:rsid w:val="00C84CD0"/>
    <w:rsid w:val="00C84E6F"/>
    <w:rsid w:val="00C857E2"/>
    <w:rsid w:val="00C85F8B"/>
    <w:rsid w:val="00C8610A"/>
    <w:rsid w:val="00C867EC"/>
    <w:rsid w:val="00C87F56"/>
    <w:rsid w:val="00CA04EA"/>
    <w:rsid w:val="00CA1348"/>
    <w:rsid w:val="00CA35B5"/>
    <w:rsid w:val="00CA386E"/>
    <w:rsid w:val="00CA425C"/>
    <w:rsid w:val="00CB28F2"/>
    <w:rsid w:val="00CB3320"/>
    <w:rsid w:val="00CB6C48"/>
    <w:rsid w:val="00CB6E7E"/>
    <w:rsid w:val="00CC17C2"/>
    <w:rsid w:val="00CC30ED"/>
    <w:rsid w:val="00CC39E6"/>
    <w:rsid w:val="00CC3EB4"/>
    <w:rsid w:val="00CC4185"/>
    <w:rsid w:val="00CC4D81"/>
    <w:rsid w:val="00CC4F95"/>
    <w:rsid w:val="00CC68E9"/>
    <w:rsid w:val="00CC70E5"/>
    <w:rsid w:val="00CD0C3D"/>
    <w:rsid w:val="00CD2ABD"/>
    <w:rsid w:val="00CD3128"/>
    <w:rsid w:val="00CD3F7F"/>
    <w:rsid w:val="00CD4318"/>
    <w:rsid w:val="00CD47F7"/>
    <w:rsid w:val="00CD4AB7"/>
    <w:rsid w:val="00CD59A7"/>
    <w:rsid w:val="00CD6C35"/>
    <w:rsid w:val="00CE292A"/>
    <w:rsid w:val="00CE29A9"/>
    <w:rsid w:val="00CE3910"/>
    <w:rsid w:val="00CE76DD"/>
    <w:rsid w:val="00CE7B2D"/>
    <w:rsid w:val="00CF0321"/>
    <w:rsid w:val="00CF0CD9"/>
    <w:rsid w:val="00CF294B"/>
    <w:rsid w:val="00CF2B10"/>
    <w:rsid w:val="00CF301B"/>
    <w:rsid w:val="00CF306E"/>
    <w:rsid w:val="00CF36F4"/>
    <w:rsid w:val="00CF3ACD"/>
    <w:rsid w:val="00CF4D44"/>
    <w:rsid w:val="00CF50D8"/>
    <w:rsid w:val="00CF55DA"/>
    <w:rsid w:val="00CF72FF"/>
    <w:rsid w:val="00D01C34"/>
    <w:rsid w:val="00D01F4D"/>
    <w:rsid w:val="00D02201"/>
    <w:rsid w:val="00D02210"/>
    <w:rsid w:val="00D04B33"/>
    <w:rsid w:val="00D053A3"/>
    <w:rsid w:val="00D056BA"/>
    <w:rsid w:val="00D07533"/>
    <w:rsid w:val="00D11784"/>
    <w:rsid w:val="00D13434"/>
    <w:rsid w:val="00D141A3"/>
    <w:rsid w:val="00D15D55"/>
    <w:rsid w:val="00D15E61"/>
    <w:rsid w:val="00D174EF"/>
    <w:rsid w:val="00D20F09"/>
    <w:rsid w:val="00D213EB"/>
    <w:rsid w:val="00D24019"/>
    <w:rsid w:val="00D25499"/>
    <w:rsid w:val="00D258BA"/>
    <w:rsid w:val="00D2727C"/>
    <w:rsid w:val="00D278DA"/>
    <w:rsid w:val="00D3079E"/>
    <w:rsid w:val="00D33337"/>
    <w:rsid w:val="00D339AE"/>
    <w:rsid w:val="00D350E9"/>
    <w:rsid w:val="00D36A9A"/>
    <w:rsid w:val="00D40159"/>
    <w:rsid w:val="00D401F0"/>
    <w:rsid w:val="00D40BBB"/>
    <w:rsid w:val="00D415EE"/>
    <w:rsid w:val="00D42470"/>
    <w:rsid w:val="00D44C1C"/>
    <w:rsid w:val="00D45E1A"/>
    <w:rsid w:val="00D47DFF"/>
    <w:rsid w:val="00D51540"/>
    <w:rsid w:val="00D52CCB"/>
    <w:rsid w:val="00D539C0"/>
    <w:rsid w:val="00D56167"/>
    <w:rsid w:val="00D570D7"/>
    <w:rsid w:val="00D57A8C"/>
    <w:rsid w:val="00D61E98"/>
    <w:rsid w:val="00D6323E"/>
    <w:rsid w:val="00D64545"/>
    <w:rsid w:val="00D6491C"/>
    <w:rsid w:val="00D65D5B"/>
    <w:rsid w:val="00D719AC"/>
    <w:rsid w:val="00D72AFB"/>
    <w:rsid w:val="00D74DD0"/>
    <w:rsid w:val="00D76776"/>
    <w:rsid w:val="00D76FB5"/>
    <w:rsid w:val="00D77720"/>
    <w:rsid w:val="00D82DB7"/>
    <w:rsid w:val="00D86DF6"/>
    <w:rsid w:val="00D92053"/>
    <w:rsid w:val="00D92866"/>
    <w:rsid w:val="00D935EA"/>
    <w:rsid w:val="00D93835"/>
    <w:rsid w:val="00D94404"/>
    <w:rsid w:val="00D966C9"/>
    <w:rsid w:val="00D96BBB"/>
    <w:rsid w:val="00DA155B"/>
    <w:rsid w:val="00DA1F7E"/>
    <w:rsid w:val="00DA252E"/>
    <w:rsid w:val="00DA2F4E"/>
    <w:rsid w:val="00DA41A4"/>
    <w:rsid w:val="00DA5816"/>
    <w:rsid w:val="00DA6343"/>
    <w:rsid w:val="00DA656A"/>
    <w:rsid w:val="00DA79C7"/>
    <w:rsid w:val="00DB0E59"/>
    <w:rsid w:val="00DB0EEE"/>
    <w:rsid w:val="00DB1ECD"/>
    <w:rsid w:val="00DB3F3F"/>
    <w:rsid w:val="00DB6B18"/>
    <w:rsid w:val="00DC2779"/>
    <w:rsid w:val="00DC4584"/>
    <w:rsid w:val="00DD2338"/>
    <w:rsid w:val="00DD324C"/>
    <w:rsid w:val="00DD71EF"/>
    <w:rsid w:val="00DD778D"/>
    <w:rsid w:val="00DE0FDD"/>
    <w:rsid w:val="00DE107A"/>
    <w:rsid w:val="00DE1470"/>
    <w:rsid w:val="00DE14E7"/>
    <w:rsid w:val="00DE1EE2"/>
    <w:rsid w:val="00DE2BEF"/>
    <w:rsid w:val="00DE3252"/>
    <w:rsid w:val="00DE4469"/>
    <w:rsid w:val="00DE697B"/>
    <w:rsid w:val="00DF0BF3"/>
    <w:rsid w:val="00DF14EF"/>
    <w:rsid w:val="00DF39CB"/>
    <w:rsid w:val="00DF3AEF"/>
    <w:rsid w:val="00DF4455"/>
    <w:rsid w:val="00DF646B"/>
    <w:rsid w:val="00DF7916"/>
    <w:rsid w:val="00E027DB"/>
    <w:rsid w:val="00E02E01"/>
    <w:rsid w:val="00E107F4"/>
    <w:rsid w:val="00E12E73"/>
    <w:rsid w:val="00E13723"/>
    <w:rsid w:val="00E142C7"/>
    <w:rsid w:val="00E158E4"/>
    <w:rsid w:val="00E17C2A"/>
    <w:rsid w:val="00E20B57"/>
    <w:rsid w:val="00E20CFB"/>
    <w:rsid w:val="00E22380"/>
    <w:rsid w:val="00E24057"/>
    <w:rsid w:val="00E25DD1"/>
    <w:rsid w:val="00E26472"/>
    <w:rsid w:val="00E30987"/>
    <w:rsid w:val="00E32152"/>
    <w:rsid w:val="00E3271A"/>
    <w:rsid w:val="00E345FC"/>
    <w:rsid w:val="00E34B42"/>
    <w:rsid w:val="00E34C11"/>
    <w:rsid w:val="00E35258"/>
    <w:rsid w:val="00E357E3"/>
    <w:rsid w:val="00E35FE0"/>
    <w:rsid w:val="00E361EA"/>
    <w:rsid w:val="00E36D9E"/>
    <w:rsid w:val="00E37C6C"/>
    <w:rsid w:val="00E43247"/>
    <w:rsid w:val="00E434FC"/>
    <w:rsid w:val="00E44D57"/>
    <w:rsid w:val="00E4634C"/>
    <w:rsid w:val="00E47119"/>
    <w:rsid w:val="00E515BB"/>
    <w:rsid w:val="00E51BE3"/>
    <w:rsid w:val="00E528E4"/>
    <w:rsid w:val="00E537C7"/>
    <w:rsid w:val="00E55B92"/>
    <w:rsid w:val="00E56B15"/>
    <w:rsid w:val="00E608CE"/>
    <w:rsid w:val="00E62BBA"/>
    <w:rsid w:val="00E64E0C"/>
    <w:rsid w:val="00E660B7"/>
    <w:rsid w:val="00E70499"/>
    <w:rsid w:val="00E724DC"/>
    <w:rsid w:val="00E724E6"/>
    <w:rsid w:val="00E72E09"/>
    <w:rsid w:val="00E73750"/>
    <w:rsid w:val="00E76134"/>
    <w:rsid w:val="00E76245"/>
    <w:rsid w:val="00E80827"/>
    <w:rsid w:val="00E82079"/>
    <w:rsid w:val="00E822E8"/>
    <w:rsid w:val="00E825CC"/>
    <w:rsid w:val="00E848AA"/>
    <w:rsid w:val="00E87DB6"/>
    <w:rsid w:val="00E90F19"/>
    <w:rsid w:val="00E92B3C"/>
    <w:rsid w:val="00E95113"/>
    <w:rsid w:val="00E951ED"/>
    <w:rsid w:val="00EA021A"/>
    <w:rsid w:val="00EA231E"/>
    <w:rsid w:val="00EA3F6C"/>
    <w:rsid w:val="00EA4203"/>
    <w:rsid w:val="00EA57CD"/>
    <w:rsid w:val="00EB06C9"/>
    <w:rsid w:val="00EB1900"/>
    <w:rsid w:val="00EB20F4"/>
    <w:rsid w:val="00EB2D21"/>
    <w:rsid w:val="00EB39F7"/>
    <w:rsid w:val="00EB5825"/>
    <w:rsid w:val="00EB5C01"/>
    <w:rsid w:val="00EB5F03"/>
    <w:rsid w:val="00EB7D61"/>
    <w:rsid w:val="00EC03F2"/>
    <w:rsid w:val="00EC1A5F"/>
    <w:rsid w:val="00EC1C6B"/>
    <w:rsid w:val="00EC4143"/>
    <w:rsid w:val="00EC4E49"/>
    <w:rsid w:val="00EC539A"/>
    <w:rsid w:val="00EC5DBC"/>
    <w:rsid w:val="00EC6728"/>
    <w:rsid w:val="00EC6BBB"/>
    <w:rsid w:val="00ED136F"/>
    <w:rsid w:val="00ED2BC2"/>
    <w:rsid w:val="00ED2E36"/>
    <w:rsid w:val="00ED3486"/>
    <w:rsid w:val="00ED3C96"/>
    <w:rsid w:val="00ED3FD6"/>
    <w:rsid w:val="00ED40A8"/>
    <w:rsid w:val="00ED44EB"/>
    <w:rsid w:val="00ED5473"/>
    <w:rsid w:val="00ED7FA2"/>
    <w:rsid w:val="00EE08CC"/>
    <w:rsid w:val="00EE2B3F"/>
    <w:rsid w:val="00EE494F"/>
    <w:rsid w:val="00EE4B2B"/>
    <w:rsid w:val="00EE4CC4"/>
    <w:rsid w:val="00EE5563"/>
    <w:rsid w:val="00EE591B"/>
    <w:rsid w:val="00EE609B"/>
    <w:rsid w:val="00EF192B"/>
    <w:rsid w:val="00EF4018"/>
    <w:rsid w:val="00EF70FF"/>
    <w:rsid w:val="00EF732C"/>
    <w:rsid w:val="00EF7D8D"/>
    <w:rsid w:val="00F001DF"/>
    <w:rsid w:val="00F00A15"/>
    <w:rsid w:val="00F02343"/>
    <w:rsid w:val="00F02638"/>
    <w:rsid w:val="00F02782"/>
    <w:rsid w:val="00F02E80"/>
    <w:rsid w:val="00F04700"/>
    <w:rsid w:val="00F04DD8"/>
    <w:rsid w:val="00F06A1C"/>
    <w:rsid w:val="00F07226"/>
    <w:rsid w:val="00F11334"/>
    <w:rsid w:val="00F11768"/>
    <w:rsid w:val="00F12F02"/>
    <w:rsid w:val="00F134A2"/>
    <w:rsid w:val="00F13ACE"/>
    <w:rsid w:val="00F13C43"/>
    <w:rsid w:val="00F148DB"/>
    <w:rsid w:val="00F14A2E"/>
    <w:rsid w:val="00F15421"/>
    <w:rsid w:val="00F16BC5"/>
    <w:rsid w:val="00F20770"/>
    <w:rsid w:val="00F24A8E"/>
    <w:rsid w:val="00F253A1"/>
    <w:rsid w:val="00F25AB6"/>
    <w:rsid w:val="00F27DCE"/>
    <w:rsid w:val="00F30F8A"/>
    <w:rsid w:val="00F3267F"/>
    <w:rsid w:val="00F33019"/>
    <w:rsid w:val="00F3498B"/>
    <w:rsid w:val="00F3548C"/>
    <w:rsid w:val="00F35653"/>
    <w:rsid w:val="00F360C9"/>
    <w:rsid w:val="00F364D7"/>
    <w:rsid w:val="00F3737B"/>
    <w:rsid w:val="00F37EAE"/>
    <w:rsid w:val="00F404D5"/>
    <w:rsid w:val="00F40F93"/>
    <w:rsid w:val="00F415DF"/>
    <w:rsid w:val="00F43707"/>
    <w:rsid w:val="00F44916"/>
    <w:rsid w:val="00F45061"/>
    <w:rsid w:val="00F45208"/>
    <w:rsid w:val="00F47F86"/>
    <w:rsid w:val="00F503D2"/>
    <w:rsid w:val="00F51B8C"/>
    <w:rsid w:val="00F5271F"/>
    <w:rsid w:val="00F5400A"/>
    <w:rsid w:val="00F547F1"/>
    <w:rsid w:val="00F55F44"/>
    <w:rsid w:val="00F56143"/>
    <w:rsid w:val="00F5677C"/>
    <w:rsid w:val="00F57525"/>
    <w:rsid w:val="00F575BE"/>
    <w:rsid w:val="00F601C3"/>
    <w:rsid w:val="00F60D7C"/>
    <w:rsid w:val="00F61E8C"/>
    <w:rsid w:val="00F6495C"/>
    <w:rsid w:val="00F65A4B"/>
    <w:rsid w:val="00F66431"/>
    <w:rsid w:val="00F667B8"/>
    <w:rsid w:val="00F6738A"/>
    <w:rsid w:val="00F70A68"/>
    <w:rsid w:val="00F710CD"/>
    <w:rsid w:val="00F7514D"/>
    <w:rsid w:val="00F75B5B"/>
    <w:rsid w:val="00F761C6"/>
    <w:rsid w:val="00F762BD"/>
    <w:rsid w:val="00F805CD"/>
    <w:rsid w:val="00F806AA"/>
    <w:rsid w:val="00F83174"/>
    <w:rsid w:val="00F8377D"/>
    <w:rsid w:val="00F83F8C"/>
    <w:rsid w:val="00F83FA6"/>
    <w:rsid w:val="00F84701"/>
    <w:rsid w:val="00F8757F"/>
    <w:rsid w:val="00F902EF"/>
    <w:rsid w:val="00F9280B"/>
    <w:rsid w:val="00F92B50"/>
    <w:rsid w:val="00F93709"/>
    <w:rsid w:val="00F94A1D"/>
    <w:rsid w:val="00F95E9D"/>
    <w:rsid w:val="00F960D9"/>
    <w:rsid w:val="00F97140"/>
    <w:rsid w:val="00F97F1B"/>
    <w:rsid w:val="00F97F96"/>
    <w:rsid w:val="00FA19A2"/>
    <w:rsid w:val="00FA1ECC"/>
    <w:rsid w:val="00FA575A"/>
    <w:rsid w:val="00FB0515"/>
    <w:rsid w:val="00FB0F1D"/>
    <w:rsid w:val="00FB10A0"/>
    <w:rsid w:val="00FB27EF"/>
    <w:rsid w:val="00FB37CE"/>
    <w:rsid w:val="00FB4DB4"/>
    <w:rsid w:val="00FB5608"/>
    <w:rsid w:val="00FB5AF5"/>
    <w:rsid w:val="00FB6B3E"/>
    <w:rsid w:val="00FB70FD"/>
    <w:rsid w:val="00FC0004"/>
    <w:rsid w:val="00FC1975"/>
    <w:rsid w:val="00FC258D"/>
    <w:rsid w:val="00FC4A80"/>
    <w:rsid w:val="00FC5E98"/>
    <w:rsid w:val="00FC602F"/>
    <w:rsid w:val="00FD00B5"/>
    <w:rsid w:val="00FD046B"/>
    <w:rsid w:val="00FD0CB8"/>
    <w:rsid w:val="00FD128F"/>
    <w:rsid w:val="00FD2ADB"/>
    <w:rsid w:val="00FD3BB4"/>
    <w:rsid w:val="00FD5830"/>
    <w:rsid w:val="00FD5917"/>
    <w:rsid w:val="00FD62AF"/>
    <w:rsid w:val="00FD6E00"/>
    <w:rsid w:val="00FD7F64"/>
    <w:rsid w:val="00FE11F1"/>
    <w:rsid w:val="00FE1C42"/>
    <w:rsid w:val="00FE30E6"/>
    <w:rsid w:val="00FE5E8F"/>
    <w:rsid w:val="00FF0672"/>
    <w:rsid w:val="00FF181F"/>
    <w:rsid w:val="00FF2454"/>
    <w:rsid w:val="00FF275C"/>
    <w:rsid w:val="00FF2E39"/>
    <w:rsid w:val="00FF46D6"/>
    <w:rsid w:val="00FF493D"/>
    <w:rsid w:val="00FF676E"/>
    <w:rsid w:val="09014074"/>
    <w:rsid w:val="10399FEC"/>
    <w:rsid w:val="123D4CFB"/>
    <w:rsid w:val="14A93882"/>
    <w:rsid w:val="1965A103"/>
    <w:rsid w:val="1A96F571"/>
    <w:rsid w:val="1AE7837D"/>
    <w:rsid w:val="247272E5"/>
    <w:rsid w:val="2B598ABA"/>
    <w:rsid w:val="2BAA4741"/>
    <w:rsid w:val="2E4F050F"/>
    <w:rsid w:val="31555641"/>
    <w:rsid w:val="357A9105"/>
    <w:rsid w:val="3614F239"/>
    <w:rsid w:val="3A1319AC"/>
    <w:rsid w:val="41A2AD3E"/>
    <w:rsid w:val="45CD49FF"/>
    <w:rsid w:val="4A256BB4"/>
    <w:rsid w:val="4B50F5A9"/>
    <w:rsid w:val="58597A80"/>
    <w:rsid w:val="650C6EE4"/>
    <w:rsid w:val="6FA9A3E7"/>
    <w:rsid w:val="6FD925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A19BD"/>
  <w15:docId w15:val="{E3B81442-EF2B-4FBA-B449-0BBECA9A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CC68E9"/>
    <w:pPr>
      <w:spacing w:after="0" w:line="240" w:lineRule="auto"/>
    </w:pPr>
    <w:rPr>
      <w:sz w:val="19"/>
    </w:rPr>
  </w:style>
  <w:style w:type="paragraph" w:styleId="Heading1">
    <w:name w:val="heading 1"/>
    <w:basedOn w:val="Normal"/>
    <w:next w:val="BodytextRegular"/>
    <w:link w:val="Heading1Char"/>
    <w:uiPriority w:val="9"/>
    <w:semiHidden/>
    <w:qFormat/>
    <w:locked/>
    <w:rsid w:val="00664470"/>
    <w:pPr>
      <w:keepNext/>
      <w:pBdr>
        <w:bottom w:val="single" w:sz="8" w:space="1" w:color="63C532" w:themeColor="accent2"/>
      </w:pBdr>
      <w:tabs>
        <w:tab w:val="left" w:pos="1736"/>
      </w:tabs>
      <w:spacing w:after="240" w:line="276" w:lineRule="auto"/>
      <w:outlineLvl w:val="0"/>
    </w:pPr>
    <w:rPr>
      <w:rFonts w:asciiTheme="majorHAnsi" w:eastAsia="Times New Roman" w:hAnsiTheme="majorHAnsi" w:cs="Arial"/>
      <w:bCs/>
      <w:color w:val="A446BA" w:themeColor="text2"/>
      <w:kern w:val="32"/>
      <w:sz w:val="28"/>
      <w:szCs w:val="32"/>
    </w:rPr>
  </w:style>
  <w:style w:type="paragraph" w:styleId="Heading2">
    <w:name w:val="heading 2"/>
    <w:basedOn w:val="Normal"/>
    <w:next w:val="BodytextRegular"/>
    <w:link w:val="Heading2Char"/>
    <w:uiPriority w:val="39"/>
    <w:semiHidden/>
    <w:locked/>
    <w:rsid w:val="00664470"/>
    <w:pPr>
      <w:keepNext/>
      <w:tabs>
        <w:tab w:val="left" w:pos="1736"/>
      </w:tabs>
      <w:spacing w:before="120" w:after="120" w:line="320" w:lineRule="exact"/>
      <w:outlineLvl w:val="1"/>
    </w:pPr>
    <w:rPr>
      <w:rFonts w:asciiTheme="majorHAnsi" w:eastAsia="Times New Roman" w:hAnsiTheme="majorHAnsi" w:cs="Arial"/>
      <w:bCs/>
      <w:iCs/>
      <w:color w:val="001E41" w:themeColor="accent1"/>
      <w:sz w:val="24"/>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001E41"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74B7"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001E4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95184E"/>
    <w:pPr>
      <w:framePr w:hSpace="180" w:wrap="around" w:vAnchor="text" w:hAnchor="text" w:x="-6" w:y="1"/>
      <w:spacing w:line="216" w:lineRule="auto"/>
      <w:ind w:left="113"/>
      <w:suppressOverlap/>
    </w:pPr>
    <w:rPr>
      <w:rFonts w:ascii="Schroders Circular TT" w:hAnsi="Schroders Circular TT" w:cs="Schroders Circular TT Black"/>
      <w:color w:val="FFFFFF" w:themeColor="background1"/>
      <w:sz w:val="48"/>
      <w:szCs w:val="36"/>
      <w:lang w:val="fr-CH"/>
    </w:rPr>
  </w:style>
  <w:style w:type="paragraph" w:customStyle="1" w:styleId="Documentsubtitle">
    <w:name w:val="Document subtitle"/>
    <w:basedOn w:val="BodytextRegular"/>
    <w:next w:val="BodytextRegular"/>
    <w:uiPriority w:val="28"/>
    <w:qFormat/>
    <w:rsid w:val="0095184E"/>
    <w:rPr>
      <w:rFonts w:ascii="Schroders Circular TT" w:hAnsi="Schroders Circular TT"/>
      <w:color w:val="00A2B5" w:themeColor="background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74B7"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001E41"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74B7"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3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001E41" w:themeColor="accent1"/>
      <w:sz w:val="16"/>
    </w:rPr>
  </w:style>
  <w:style w:type="paragraph" w:customStyle="1" w:styleId="Chartandtablesubtitle">
    <w:name w:val="Chart and table subtitle"/>
    <w:basedOn w:val="Tabletext"/>
    <w:next w:val="BodyText"/>
    <w:uiPriority w:val="18"/>
    <w:qFormat/>
    <w:rsid w:val="001A51FE"/>
    <w:rPr>
      <w:rFonts w:eastAsia="Times New Roman" w:cstheme="minorHAnsi"/>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semiHidden/>
    <w:qFormat/>
    <w:rsid w:val="009510E0"/>
    <w:pPr>
      <w:tabs>
        <w:tab w:val="left" w:pos="425"/>
        <w:tab w:val="left" w:pos="1701"/>
        <w:tab w:val="right" w:leader="dot" w:pos="9923"/>
      </w:tabs>
      <w:spacing w:before="240" w:after="120"/>
      <w:ind w:left="1701" w:hanging="1701"/>
    </w:pPr>
    <w:rPr>
      <w:rFonts w:eastAsia="Times New Roman" w:cs="Arial"/>
      <w:b/>
      <w:noProof/>
      <w:color w:val="002A5E"/>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semiHidden/>
    <w:qFormat/>
    <w:rsid w:val="003F25ED"/>
    <w:pPr>
      <w:tabs>
        <w:tab w:val="left" w:pos="992"/>
        <w:tab w:val="right" w:leader="dot" w:pos="9923"/>
      </w:tabs>
      <w:spacing w:before="60"/>
      <w:ind w:left="992" w:hanging="567"/>
    </w:pPr>
    <w:rPr>
      <w:rFonts w:eastAsiaTheme="minorEastAsia"/>
      <w:noProof/>
      <w:color w:val="001E41" w:themeColor="accent1"/>
      <w:sz w:val="22"/>
      <w:lang w:eastAsia="en-GB"/>
    </w:rPr>
  </w:style>
  <w:style w:type="character" w:styleId="Hyperlink">
    <w:name w:val="Hyperlink"/>
    <w:basedOn w:val="DefaultParagraphFont"/>
    <w:uiPriority w:val="99"/>
    <w:locked/>
    <w:rsid w:val="0095184E"/>
    <w:rPr>
      <w:color w:val="001E41" w:themeColor="accent1"/>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001E41" w:themeColor="accent1"/>
      <w:sz w:val="19"/>
    </w:rPr>
  </w:style>
  <w:style w:type="paragraph" w:styleId="TOCHeading">
    <w:name w:val="TOC Heading"/>
    <w:next w:val="Normal"/>
    <w:uiPriority w:val="30"/>
    <w:semiHidden/>
    <w:qFormat/>
    <w:rsid w:val="001B725E"/>
    <w:pPr>
      <w:keepLines/>
      <w:spacing w:before="480" w:after="0"/>
    </w:pPr>
    <w:rPr>
      <w:rFonts w:asciiTheme="majorHAnsi" w:eastAsiaTheme="majorEastAsia" w:hAnsiTheme="majorHAnsi" w:cstheme="majorBidi"/>
      <w:color w:val="63C532" w:themeColor="accent2"/>
      <w:sz w:val="40"/>
      <w:szCs w:val="28"/>
    </w:rPr>
  </w:style>
  <w:style w:type="paragraph" w:customStyle="1" w:styleId="Disclaimertext">
    <w:name w:val="Disclaimer text"/>
    <w:next w:val="BodyText"/>
    <w:uiPriority w:val="24"/>
    <w:rsid w:val="00EF192B"/>
    <w:pPr>
      <w:tabs>
        <w:tab w:val="left" w:pos="3402"/>
      </w:tabs>
      <w:spacing w:before="60" w:after="0" w:line="190" w:lineRule="exact"/>
    </w:pPr>
    <w:rPr>
      <w:rFonts w:eastAsia="Times New Roman" w:cs="Arial"/>
      <w:sz w:val="16"/>
      <w:szCs w:val="17"/>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21"/>
      </w:numPr>
    </w:pPr>
  </w:style>
  <w:style w:type="paragraph" w:customStyle="1" w:styleId="NumerallistBold">
    <w:name w:val="Numeral list (Bold)"/>
    <w:basedOn w:val="LetteredlistBold"/>
    <w:uiPriority w:val="16"/>
    <w:qFormat/>
    <w:rsid w:val="00CD6C35"/>
    <w:pPr>
      <w:numPr>
        <w:numId w:val="20"/>
      </w:numPr>
    </w:pPr>
  </w:style>
  <w:style w:type="paragraph" w:customStyle="1" w:styleId="Sourcetext">
    <w:name w:val="Source text."/>
    <w:basedOn w:val="Normal"/>
    <w:uiPriority w:val="22"/>
    <w:qFormat/>
    <w:rsid w:val="001A51FE"/>
    <w:pPr>
      <w:spacing w:before="60" w:line="190" w:lineRule="exact"/>
    </w:pPr>
    <w:rPr>
      <w:sz w:val="16"/>
      <w:szCs w:val="17"/>
    </w:rPr>
  </w:style>
  <w:style w:type="paragraph" w:customStyle="1" w:styleId="Prussiannavyfootertextright">
    <w:name w:val="Prussian navy footer text (right)"/>
    <w:basedOn w:val="Normal"/>
    <w:uiPriority w:val="33"/>
    <w:qFormat/>
    <w:rsid w:val="0095184E"/>
    <w:pPr>
      <w:ind w:right="170"/>
      <w:jc w:val="right"/>
    </w:pPr>
    <w:rPr>
      <w:bCs/>
      <w:color w:val="001E41" w:themeColor="accent1"/>
      <w:sz w:val="16"/>
      <w:szCs w:val="16"/>
      <w:lang w:eastAsia="ja-JP"/>
    </w:rPr>
  </w:style>
  <w:style w:type="paragraph" w:customStyle="1" w:styleId="TabletextBold0">
    <w:name w:val="Table text (Bold)"/>
    <w:basedOn w:val="Tabletext"/>
    <w:uiPriority w:val="20"/>
    <w:qFormat/>
    <w:rsid w:val="00543CFC"/>
    <w:rPr>
      <w:b/>
      <w:bCs/>
      <w:color w:val="000000" w:themeColor="text1"/>
    </w:rPr>
  </w:style>
  <w:style w:type="paragraph" w:customStyle="1" w:styleId="LetteredlistRegular">
    <w:name w:val="Lettered list (Regular)"/>
    <w:uiPriority w:val="13"/>
    <w:rsid w:val="000172FF"/>
    <w:pPr>
      <w:numPr>
        <w:numId w:val="11"/>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0172FF"/>
    <w:pPr>
      <w:numPr>
        <w:numId w:val="17"/>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5C0F02"/>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6F71F5"/>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0172FF"/>
    <w:pPr>
      <w:numPr>
        <w:numId w:val="7"/>
      </w:numPr>
      <w:spacing w:after="120"/>
    </w:pPr>
    <w:rPr>
      <w:rFonts w:eastAsia="Times New Roman" w:cs="Arial"/>
      <w:sz w:val="18"/>
      <w:lang w:eastAsia="ja-JP"/>
    </w:rPr>
  </w:style>
  <w:style w:type="paragraph" w:customStyle="1" w:styleId="Paragraphheaderprussiannavy">
    <w:name w:val="Paragraph header prussian navy"/>
    <w:basedOn w:val="Normal"/>
    <w:next w:val="BodytextRegular"/>
    <w:uiPriority w:val="7"/>
    <w:qFormat/>
    <w:rsid w:val="0095184E"/>
    <w:pPr>
      <w:keepNext/>
      <w:spacing w:before="240" w:after="120"/>
    </w:pPr>
    <w:rPr>
      <w:rFonts w:ascii="Schroders Circular TT" w:hAnsi="Schroders Circular TT"/>
      <w:b/>
      <w:color w:val="001E41" w:themeColor="accent1"/>
      <w:sz w:val="20"/>
      <w:szCs w:val="24"/>
    </w:rPr>
  </w:style>
  <w:style w:type="paragraph" w:customStyle="1" w:styleId="Tabletext">
    <w:name w:val="Table text"/>
    <w:uiPriority w:val="19"/>
    <w:qFormat/>
    <w:rsid w:val="001A51FE"/>
    <w:pPr>
      <w:spacing w:before="60" w:after="60" w:line="240" w:lineRule="auto"/>
    </w:pPr>
    <w:rPr>
      <w:sz w:val="18"/>
      <w:szCs w:val="24"/>
    </w:rPr>
  </w:style>
  <w:style w:type="paragraph" w:customStyle="1" w:styleId="BodytextRegular">
    <w:name w:val="Body text (Regular)"/>
    <w:basedOn w:val="BodyText"/>
    <w:qFormat/>
    <w:rsid w:val="001A51FE"/>
    <w:rPr>
      <w:sz w:val="18"/>
      <w:szCs w:val="20"/>
    </w:rPr>
  </w:style>
  <w:style w:type="table" w:customStyle="1" w:styleId="Table">
    <w:name w:val="Table"/>
    <w:basedOn w:val="TableNormal"/>
    <w:uiPriority w:val="99"/>
    <w:locked/>
    <w:rsid w:val="00F805CD"/>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shd w:val="clear" w:color="auto" w:fill="auto"/>
      <w:vAlign w:val="center"/>
    </w:tcPr>
    <w:tblStylePr w:type="fir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pPr>
        <w:wordWrap/>
        <w:spacing w:beforeLines="0" w:before="60" w:beforeAutospacing="0" w:afterLines="0" w:after="60" w:afterAutospacing="0" w:line="240" w:lineRule="auto"/>
      </w:pPr>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wordWrap/>
        <w:spacing w:beforeLines="0" w:before="60" w:beforeAutospacing="0" w:afterLines="0" w:after="60" w:afterAutospacing="0" w:line="240" w:lineRule="auto"/>
        <w:jc w:val="left"/>
      </w:pPr>
      <w:rPr>
        <w:rFonts w:asciiTheme="minorHAnsi" w:hAnsiTheme="minorHAnsi"/>
        <w:b/>
        <w:color w:val="auto"/>
        <w:sz w:val="18"/>
      </w:rPr>
      <w:tblPr/>
      <w:tcPr>
        <w:shd w:val="clear" w:color="auto" w:fill="E5E8EC"/>
      </w:tcPr>
    </w:tblStylePr>
    <w:tblStylePr w:type="band1Vert">
      <w:tblPr/>
      <w:tcPr>
        <w:tcBorders>
          <w:top w:val="nil"/>
          <w:left w:val="nil"/>
          <w:bottom w:val="nil"/>
          <w:right w:val="nil"/>
          <w:insideH w:val="single" w:sz="4" w:space="0" w:color="001E41" w:themeColor="accent1"/>
          <w:insideV w:val="nil"/>
        </w:tcBorders>
      </w:tcPr>
    </w:tblStylePr>
    <w:tblStylePr w:type="band2Vert">
      <w:tblPr/>
      <w:tcPr>
        <w:tcBorders>
          <w:insideH w:val="single" w:sz="4" w:space="0" w:color="001E41" w:themeColor="accent1"/>
        </w:tcBorders>
      </w:tcPr>
    </w:tblStylePr>
    <w:tblStylePr w:type="band1Horz">
      <w:tblPr/>
      <w:tcPr>
        <w:tcBorders>
          <w:insideH w:val="nil"/>
        </w:tcBorders>
      </w:tcPr>
    </w:tblStylePr>
  </w:style>
  <w:style w:type="paragraph" w:customStyle="1" w:styleId="Level3heading">
    <w:name w:val="Level 3 heading"/>
    <w:basedOn w:val="Normal"/>
    <w:uiPriority w:val="23"/>
    <w:semiHidden/>
    <w:qFormat/>
    <w:rsid w:val="00664470"/>
    <w:pPr>
      <w:spacing w:before="120" w:after="120" w:line="300" w:lineRule="exact"/>
      <w:outlineLvl w:val="2"/>
    </w:pPr>
    <w:rPr>
      <w:rFonts w:asciiTheme="majorHAnsi" w:hAnsiTheme="majorHAnsi"/>
      <w:color w:val="A446BA" w:themeColor="text2"/>
      <w:sz w:val="24"/>
      <w:szCs w:val="20"/>
    </w:rPr>
  </w:style>
  <w:style w:type="paragraph" w:customStyle="1" w:styleId="Coverdate">
    <w:name w:val="Cover date"/>
    <w:basedOn w:val="Normal"/>
    <w:next w:val="BodyText"/>
    <w:uiPriority w:val="29"/>
    <w:qFormat/>
    <w:rsid w:val="001A51FE"/>
    <w:pPr>
      <w:spacing w:after="40"/>
    </w:pPr>
    <w:rPr>
      <w:rFonts w:ascii="Schroders Circular TT" w:hAnsi="Schroders Circular TT"/>
      <w:noProof/>
      <w:color w:val="FFFFFF" w:themeColor="background1"/>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0E31CE"/>
    <w:pPr>
      <w:numPr>
        <w:numId w:val="23"/>
      </w:numPr>
      <w:ind w:left="284" w:hanging="284"/>
    </w:pPr>
  </w:style>
  <w:style w:type="numbering" w:customStyle="1" w:styleId="b17legalnumberedlist">
    <w:name w:val="b17 legal numbered list"/>
    <w:basedOn w:val="NoList"/>
    <w:uiPriority w:val="99"/>
    <w:locked/>
    <w:rsid w:val="00B7273A"/>
    <w:pPr>
      <w:numPr>
        <w:numId w:val="26"/>
      </w:numPr>
    </w:pPr>
  </w:style>
  <w:style w:type="paragraph" w:customStyle="1" w:styleId="Sub-bulletedtext">
    <w:name w:val="Sub-bulleted text"/>
    <w:basedOn w:val="BodytextRegular"/>
    <w:uiPriority w:val="11"/>
    <w:qFormat/>
    <w:rsid w:val="00953A48"/>
    <w:pPr>
      <w:numPr>
        <w:numId w:val="27"/>
      </w:numPr>
      <w:ind w:left="709" w:hanging="284"/>
    </w:pPr>
  </w:style>
  <w:style w:type="paragraph" w:customStyle="1" w:styleId="Multilevellist1">
    <w:name w:val="Multilevel list 1"/>
    <w:basedOn w:val="Normal"/>
    <w:next w:val="Multilevellistlevel2"/>
    <w:uiPriority w:val="3"/>
    <w:qFormat/>
    <w:rsid w:val="0095184E"/>
    <w:pPr>
      <w:keepNext/>
      <w:numPr>
        <w:numId w:val="35"/>
      </w:numPr>
      <w:tabs>
        <w:tab w:val="left" w:pos="3402"/>
      </w:tabs>
      <w:spacing w:before="240" w:after="120"/>
      <w:ind w:left="425" w:hanging="425"/>
      <w:outlineLvl w:val="0"/>
    </w:pPr>
    <w:rPr>
      <w:rFonts w:ascii="Schroders Circular TT" w:hAnsi="Schroders Circular TT"/>
      <w:color w:val="001E41" w:themeColor="accent1"/>
      <w:sz w:val="20"/>
    </w:rPr>
  </w:style>
  <w:style w:type="paragraph" w:customStyle="1" w:styleId="Multilevellistlevel2">
    <w:name w:val="Multilevel list level 2"/>
    <w:basedOn w:val="Normal"/>
    <w:next w:val="Multilevellistlevel3"/>
    <w:uiPriority w:val="5"/>
    <w:qFormat/>
    <w:rsid w:val="0095184E"/>
    <w:pPr>
      <w:keepNext/>
      <w:numPr>
        <w:ilvl w:val="1"/>
        <w:numId w:val="35"/>
      </w:numPr>
      <w:spacing w:before="120" w:after="120"/>
      <w:ind w:left="425" w:hanging="425"/>
      <w:outlineLvl w:val="1"/>
    </w:pPr>
    <w:rPr>
      <w:rFonts w:ascii="Schroders Circular TT" w:hAnsi="Schroders Circular TT"/>
      <w:color w:val="001E41" w:themeColor="accent1"/>
      <w:sz w:val="20"/>
    </w:rPr>
  </w:style>
  <w:style w:type="paragraph" w:customStyle="1" w:styleId="Multilevellistlevel3">
    <w:name w:val="Multilevel list level 3"/>
    <w:basedOn w:val="BodytextRegular"/>
    <w:uiPriority w:val="6"/>
    <w:qFormat/>
    <w:rsid w:val="00953A48"/>
    <w:pPr>
      <w:numPr>
        <w:ilvl w:val="2"/>
        <w:numId w:val="35"/>
      </w:numPr>
    </w:pPr>
  </w:style>
  <w:style w:type="paragraph" w:customStyle="1" w:styleId="Multilevellistlevel4">
    <w:name w:val="Multilevel list level 4"/>
    <w:basedOn w:val="BodytextRegular"/>
    <w:uiPriority w:val="7"/>
    <w:qFormat/>
    <w:rsid w:val="00953A48"/>
    <w:pPr>
      <w:numPr>
        <w:ilvl w:val="3"/>
        <w:numId w:val="35"/>
      </w:numPr>
    </w:pPr>
  </w:style>
  <w:style w:type="table" w:styleId="LightShading-Accent4">
    <w:name w:val="Light Shading Accent 4"/>
    <w:basedOn w:val="TableNormal"/>
    <w:uiPriority w:val="60"/>
    <w:locked/>
    <w:rsid w:val="00251481"/>
    <w:pPr>
      <w:spacing w:after="0" w:line="240" w:lineRule="auto"/>
    </w:pPr>
    <w:rPr>
      <w:color w:val="5D2964" w:themeColor="accent4" w:themeShade="BF"/>
    </w:rPr>
    <w:tblPr>
      <w:tblStyleRowBandSize w:val="1"/>
      <w:tblStyleColBandSize w:val="1"/>
      <w:tblBorders>
        <w:top w:val="single" w:sz="8" w:space="0" w:color="7D3787" w:themeColor="accent4"/>
        <w:bottom w:val="single" w:sz="8" w:space="0" w:color="7D3787" w:themeColor="accent4"/>
      </w:tblBorders>
    </w:tblPr>
    <w:tblStylePr w:type="fir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lastRow">
      <w:pPr>
        <w:spacing w:before="0" w:after="0" w:line="240" w:lineRule="auto"/>
      </w:pPr>
      <w:rPr>
        <w:b/>
        <w:bCs/>
      </w:rPr>
      <w:tblPr/>
      <w:tcPr>
        <w:tcBorders>
          <w:top w:val="single" w:sz="8" w:space="0" w:color="7D3787" w:themeColor="accent4"/>
          <w:left w:val="nil"/>
          <w:bottom w:val="single" w:sz="8" w:space="0" w:color="7D378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6E8" w:themeFill="accent4" w:themeFillTint="3F"/>
      </w:tcPr>
    </w:tblStylePr>
    <w:tblStylePr w:type="band1Horz">
      <w:tblPr/>
      <w:tcPr>
        <w:tcBorders>
          <w:left w:val="nil"/>
          <w:right w:val="nil"/>
          <w:insideH w:val="nil"/>
          <w:insideV w:val="nil"/>
        </w:tcBorders>
        <w:shd w:val="clear" w:color="auto" w:fill="E3C6E8" w:themeFill="accent4" w:themeFillTint="3F"/>
      </w:tcPr>
    </w:tblStylePr>
  </w:style>
  <w:style w:type="paragraph" w:customStyle="1" w:styleId="Chartandtabletitle">
    <w:name w:val="Chart and table title"/>
    <w:basedOn w:val="Paragraphheaderprussiannavy"/>
    <w:uiPriority w:val="17"/>
    <w:qFormat/>
    <w:rsid w:val="0046623B"/>
    <w:pPr>
      <w:spacing w:after="60"/>
    </w:pPr>
  </w:style>
  <w:style w:type="character" w:styleId="IntenseReference">
    <w:name w:val="Intense Reference"/>
    <w:basedOn w:val="DefaultParagraphFont"/>
    <w:uiPriority w:val="32"/>
    <w:semiHidden/>
    <w:qFormat/>
    <w:locked/>
    <w:rsid w:val="00AD758E"/>
    <w:rPr>
      <w:b/>
      <w:bCs/>
      <w:smallCaps/>
      <w:color w:val="0074B7" w:themeColor="accent3"/>
      <w:spacing w:val="5"/>
      <w:u w:val="single"/>
    </w:rPr>
  </w:style>
  <w:style w:type="character" w:styleId="SubtleReference">
    <w:name w:val="Subtle Reference"/>
    <w:basedOn w:val="DefaultParagraphFont"/>
    <w:uiPriority w:val="31"/>
    <w:semiHidden/>
    <w:qFormat/>
    <w:locked/>
    <w:rsid w:val="00AD758E"/>
    <w:rPr>
      <w:smallCaps/>
      <w:color w:val="0074B7" w:themeColor="accent3"/>
      <w:u w:val="single"/>
    </w:rPr>
  </w:style>
  <w:style w:type="character" w:styleId="FollowedHyperlink">
    <w:name w:val="FollowedHyperlink"/>
    <w:basedOn w:val="DefaultParagraphFont"/>
    <w:uiPriority w:val="99"/>
    <w:semiHidden/>
    <w:locked/>
    <w:rsid w:val="00AD758E"/>
    <w:rPr>
      <w:color w:val="0074B7"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7CCEFF" w:themeColor="accent3" w:themeTint="66"/>
        <w:left w:val="single" w:sz="4" w:space="0" w:color="7CCEFF" w:themeColor="accent3" w:themeTint="66"/>
        <w:bottom w:val="single" w:sz="4" w:space="0" w:color="7CCEFF" w:themeColor="accent3" w:themeTint="66"/>
        <w:right w:val="single" w:sz="4" w:space="0" w:color="7CCEFF" w:themeColor="accent3" w:themeTint="66"/>
        <w:insideH w:val="single" w:sz="4" w:space="0" w:color="7CCEFF" w:themeColor="accent3" w:themeTint="66"/>
        <w:insideV w:val="single" w:sz="4" w:space="0" w:color="7CCEFF" w:themeColor="accent3" w:themeTint="66"/>
      </w:tblBorders>
    </w:tblPr>
    <w:tblStylePr w:type="firstRow">
      <w:rPr>
        <w:b/>
        <w:bCs/>
      </w:rPr>
      <w:tblPr/>
      <w:tcPr>
        <w:tcBorders>
          <w:bottom w:val="single" w:sz="12" w:space="0" w:color="3AB6FF" w:themeColor="accent3" w:themeTint="99"/>
        </w:tcBorders>
      </w:tcPr>
    </w:tblStylePr>
    <w:tblStylePr w:type="lastRow">
      <w:rPr>
        <w:b/>
        <w:bCs/>
      </w:rPr>
      <w:tblPr/>
      <w:tcPr>
        <w:tcBorders>
          <w:top w:val="double" w:sz="2" w:space="0" w:color="3AB6FF"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95184E"/>
    <w:pPr>
      <w:tabs>
        <w:tab w:val="center" w:pos="4513"/>
        <w:tab w:val="right" w:pos="9026"/>
      </w:tabs>
      <w:spacing w:after="40"/>
    </w:pPr>
    <w:rPr>
      <w:rFonts w:cstheme="minorHAnsi"/>
      <w:noProof/>
      <w:color w:val="FFFFFF" w:themeColor="background1"/>
      <w:sz w:val="17"/>
      <w:szCs w:val="18"/>
    </w:rPr>
  </w:style>
  <w:style w:type="paragraph" w:customStyle="1" w:styleId="BodytextBold">
    <w:name w:val="Body text (Bold)"/>
    <w:basedOn w:val="BodytextRegular"/>
    <w:uiPriority w:val="1"/>
    <w:qFormat/>
    <w:rsid w:val="001A51FE"/>
    <w:rPr>
      <w:b/>
    </w:rPr>
  </w:style>
  <w:style w:type="paragraph" w:customStyle="1" w:styleId="NumberedlistBold">
    <w:name w:val="Numbered list (Bold)"/>
    <w:basedOn w:val="NumberedlistRegular"/>
    <w:uiPriority w:val="12"/>
    <w:qFormat/>
    <w:rsid w:val="000172FF"/>
    <w:rPr>
      <w:b/>
    </w:rPr>
  </w:style>
  <w:style w:type="paragraph" w:styleId="Header">
    <w:name w:val="header"/>
    <w:basedOn w:val="Normal"/>
    <w:link w:val="HeaderChar"/>
    <w:uiPriority w:val="99"/>
    <w:unhideWhenUsed/>
    <w:rsid w:val="000172FF"/>
    <w:pPr>
      <w:tabs>
        <w:tab w:val="center" w:pos="4513"/>
        <w:tab w:val="right" w:pos="9026"/>
      </w:tabs>
    </w:pPr>
    <w:rPr>
      <w:sz w:val="18"/>
    </w:rPr>
  </w:style>
  <w:style w:type="character" w:customStyle="1" w:styleId="HeaderChar">
    <w:name w:val="Header Char"/>
    <w:basedOn w:val="DefaultParagraphFont"/>
    <w:link w:val="Header"/>
    <w:uiPriority w:val="99"/>
    <w:rsid w:val="000172FF"/>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Revision">
    <w:name w:val="Revision"/>
    <w:hidden/>
    <w:uiPriority w:val="99"/>
    <w:semiHidden/>
    <w:rsid w:val="00156A61"/>
    <w:pPr>
      <w:spacing w:after="0" w:line="240" w:lineRule="auto"/>
    </w:pPr>
    <w:rPr>
      <w:sz w:val="19"/>
    </w:rPr>
  </w:style>
  <w:style w:type="paragraph" w:styleId="Footer">
    <w:name w:val="footer"/>
    <w:basedOn w:val="Normal"/>
    <w:link w:val="FooterChar"/>
    <w:uiPriority w:val="99"/>
    <w:unhideWhenUsed/>
    <w:qFormat/>
    <w:rsid w:val="000172FF"/>
    <w:pPr>
      <w:tabs>
        <w:tab w:val="center" w:pos="4680"/>
        <w:tab w:val="right" w:pos="9360"/>
      </w:tabs>
    </w:pPr>
    <w:rPr>
      <w:sz w:val="18"/>
    </w:rPr>
  </w:style>
  <w:style w:type="character" w:customStyle="1" w:styleId="FooterChar">
    <w:name w:val="Footer Char"/>
    <w:basedOn w:val="DefaultParagraphFont"/>
    <w:link w:val="Footer"/>
    <w:uiPriority w:val="99"/>
    <w:rsid w:val="000172FF"/>
    <w:rPr>
      <w:sz w:val="18"/>
    </w:rPr>
  </w:style>
  <w:style w:type="paragraph" w:styleId="CommentText">
    <w:name w:val="annotation text"/>
    <w:basedOn w:val="Normal"/>
    <w:link w:val="CommentTextChar"/>
    <w:uiPriority w:val="99"/>
    <w:locked/>
    <w:rsid w:val="004D385C"/>
    <w:rPr>
      <w:sz w:val="20"/>
      <w:szCs w:val="20"/>
    </w:rPr>
  </w:style>
  <w:style w:type="character" w:customStyle="1" w:styleId="CommentTextChar">
    <w:name w:val="Comment Text Char"/>
    <w:basedOn w:val="DefaultParagraphFont"/>
    <w:link w:val="CommentText"/>
    <w:uiPriority w:val="99"/>
    <w:rsid w:val="004D385C"/>
    <w:rPr>
      <w:sz w:val="20"/>
      <w:szCs w:val="20"/>
    </w:rPr>
  </w:style>
  <w:style w:type="character" w:styleId="CommentReference">
    <w:name w:val="annotation reference"/>
    <w:basedOn w:val="DefaultParagraphFont"/>
    <w:uiPriority w:val="99"/>
    <w:semiHidden/>
    <w:locked/>
    <w:rsid w:val="004D385C"/>
    <w:rPr>
      <w:sz w:val="16"/>
      <w:szCs w:val="16"/>
    </w:rPr>
  </w:style>
  <w:style w:type="paragraph" w:customStyle="1" w:styleId="Paragraphsubtitledeepcerulean">
    <w:name w:val="Paragraph subtitle deep cerulean"/>
    <w:basedOn w:val="BodyText"/>
    <w:next w:val="BodytextRegular"/>
    <w:uiPriority w:val="8"/>
    <w:qFormat/>
    <w:rsid w:val="0095184E"/>
    <w:pPr>
      <w:keepNext/>
      <w:spacing w:before="120"/>
    </w:pPr>
    <w:rPr>
      <w:rFonts w:ascii="Schroders Circular TT" w:hAnsi="Schroders Circular TT"/>
      <w:color w:val="00A2B5" w:themeColor="background2"/>
      <w:sz w:val="20"/>
      <w:szCs w:val="24"/>
    </w:rPr>
  </w:style>
  <w:style w:type="paragraph" w:customStyle="1" w:styleId="PageNumber1">
    <w:name w:val="Page Number1"/>
    <w:basedOn w:val="Normal"/>
    <w:uiPriority w:val="39"/>
    <w:qFormat/>
    <w:rsid w:val="0095184E"/>
    <w:pPr>
      <w:jc w:val="right"/>
    </w:pPr>
    <w:rPr>
      <w:b/>
      <w:bCs/>
      <w:color w:val="001E41" w:themeColor="accen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211841490">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 w:id="182395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bin"/></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zelal\AppData\Local\Temp\4ac7ef65-448c-41f7-a179-596e72978864_transfer%20(4).zip.864\Schroders_Fund%20Factsheet_A4_Temp_V2.dotx" TargetMode="External"/></Relationships>
</file>

<file path=word/theme/theme1.xml><?xml version="1.0" encoding="utf-8"?>
<a:theme xmlns:a="http://schemas.openxmlformats.org/drawingml/2006/main" name="Core">
  <a:themeElements>
    <a:clrScheme name="Schroders template latest">
      <a:dk1>
        <a:srgbClr val="000000"/>
      </a:dk1>
      <a:lt1>
        <a:srgbClr val="FFFFFF"/>
      </a:lt1>
      <a:dk2>
        <a:srgbClr val="A446BA"/>
      </a:dk2>
      <a:lt2>
        <a:srgbClr val="00A2B5"/>
      </a:lt2>
      <a:accent1>
        <a:srgbClr val="001E41"/>
      </a:accent1>
      <a:accent2>
        <a:srgbClr val="63C532"/>
      </a:accent2>
      <a:accent3>
        <a:srgbClr val="0074B7"/>
      </a:accent3>
      <a:accent4>
        <a:srgbClr val="7D3787"/>
      </a:accent4>
      <a:accent5>
        <a:srgbClr val="BAE659"/>
      </a:accent5>
      <a:accent6>
        <a:srgbClr val="00796D"/>
      </a:accent6>
      <a:hlink>
        <a:srgbClr val="0074B7"/>
      </a:hlink>
      <a:folHlink>
        <a:srgbClr val="00A2B5"/>
      </a:folHlink>
    </a:clrScheme>
    <a:fontScheme name="Schroders Word">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russian Navy">
      <a:srgbClr val="001E41"/>
    </a:custClr>
    <a:custClr name="Bright blue">
      <a:srgbClr val="0074B7"/>
    </a:custClr>
    <a:custClr name="Deep Cerulean">
      <a:srgbClr val="00A2B5"/>
    </a:custClr>
    <a:custClr name="Dark green">
      <a:srgbClr val="00796D"/>
    </a:custClr>
    <a:custClr name="Mid green">
      <a:srgbClr val="63C532"/>
    </a:custClr>
    <a:custClr name="Light green">
      <a:srgbClr val="BAE659"/>
    </a:custClr>
    <a:custClr name="Dark purple">
      <a:srgbClr val="4F3398"/>
    </a:custClr>
    <a:custClr name="Mid purple">
      <a:srgbClr val="7D3787"/>
    </a:custClr>
    <a:custClr name="Light purple">
      <a:srgbClr val="A446BA"/>
    </a:custClr>
    <a:custClr name="Dark pink">
      <a:srgbClr val="B71962"/>
    </a:custClr>
    <a:custClr name="Mid pink">
      <a:srgbClr val="DF536A"/>
    </a:custClr>
    <a:custClr name="Light pink">
      <a:srgbClr val="FF90A1"/>
    </a:custClr>
    <a:custClr name="Dark orange">
      <a:srgbClr val="EA5204"/>
    </a:custClr>
    <a:custClr name="Mid orange">
      <a:srgbClr val="F8A908"/>
    </a:custClr>
    <a:custClr name="Light orange">
      <a:srgbClr val="FFDC53"/>
    </a:custClr>
    <a:custClr name="Red">
      <a:srgbClr val="E00716"/>
    </a:custClr>
    <a:custClr name="Light Grey highlight">
      <a:srgbClr val="DCE1E5"/>
    </a:custClr>
  </a:custClrLst>
  <a:extLst>
    <a:ext uri="{05A4C25C-085E-4340-85A3-A5531E510DB2}">
      <thm15:themeFamily xmlns:thm15="http://schemas.microsoft.com/office/thememl/2012/main" name="Core" id="{FC937D77-274E-48BF-B222-0FE8C3B8DE7B}" vid="{F68DEEAB-50A4-40AE-8C56-9FF131A821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llExternalAdhocVariableMappings/>
</file>

<file path=customXml/itemProps1.xml><?xml version="1.0" encoding="utf-8"?>
<ds:datastoreItem xmlns:ds="http://schemas.openxmlformats.org/officeDocument/2006/customXml" ds:itemID="{1F0D5459-0258-4533-B916-0E9529E9BD1E}">
  <ds:schemaRefs/>
</ds:datastoreItem>
</file>

<file path=docProps/app.xml><?xml version="1.0" encoding="utf-8"?>
<Properties xmlns="http://schemas.openxmlformats.org/officeDocument/2006/extended-properties" xmlns:vt="http://schemas.openxmlformats.org/officeDocument/2006/docPropsVTypes">
  <Template>Schroders_Fund Factsheet_A4_Temp_V2</Template>
  <TotalTime>2</TotalTime>
  <Pages>8</Pages>
  <Words>5613</Words>
  <Characters>30872</Characters>
  <Application>Microsoft Office Word</Application>
  <DocSecurity>0</DocSecurity>
  <Lines>447</Lines>
  <Paragraphs>193</Paragraphs>
  <ScaleCrop>false</ScaleCrop>
  <HeadingPairs>
    <vt:vector size="2" baseType="variant">
      <vt:variant>
        <vt:lpstr>Title</vt:lpstr>
      </vt:variant>
      <vt:variant>
        <vt:i4>1</vt:i4>
      </vt:variant>
    </vt:vector>
  </HeadingPairs>
  <TitlesOfParts>
    <vt:vector size="1" baseType="lpstr">
      <vt:lpstr>[[fundname]]</vt:lpstr>
    </vt:vector>
  </TitlesOfParts>
  <Company>Schroders Investment Management</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[[fundname]]</dc:title>
  <dc:subject/>
  <dc:creator>Sizeland, Lisa</dc:creator>
  <cp:keywords/>
  <dc:description/>
  <cp:lastModifiedBy>Bailey, Connor</cp:lastModifiedBy>
  <cp:revision>2</cp:revision>
  <cp:lastPrinted>2025-02-25T16:54:00Z</cp:lastPrinted>
  <dcterms:created xsi:type="dcterms:W3CDTF">2026-04-20T12:26:00Z</dcterms:created>
  <dcterms:modified xsi:type="dcterms:W3CDTF">2026-04-20T12:26:00Z</dcterms:modified>
  <cp:category>Document title with one line</cp:category>
  <cp:contentStatus>[Insert a Date]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0x010100A8101AE86B09AA42911FCC6E265D4503</vt:lpwstr>
  </property>
</Properties>
</file>