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59"/>
      </w:tblGrid>
      <w:tr w:rsidR="00E20CFB" w:rsidRPr="00A23F93" w14:paraId="2FFDF9A2" w14:textId="77777777" w:rsidTr="00DA6343">
        <w:trPr>
          <w:trHeight w:val="950"/>
        </w:trPr>
        <w:tc>
          <w:tcPr>
            <w:tcW w:w="8559" w:type="dxa"/>
            <w:tcMar>
              <w:left w:w="0" w:type="dxa"/>
              <w:right w:w="0" w:type="dxa"/>
            </w:tcMar>
            <w:vAlign w:val="bottom"/>
          </w:tcPr>
          <w:p w14:paraId="099B905D" w14:textId="28A90357" w:rsidR="00E20CFB" w:rsidRPr="00A23F93" w:rsidRDefault="004A6834" w:rsidP="00236BD4">
            <w:pPr>
              <w:pStyle w:val="Documenttitle"/>
              <w:framePr w:hSpace="181" w:wrap="notBeside" w:x="-5" w:anchorLock="1"/>
              <w:rPr>
                <w:lang w:val="en-GB"/>
              </w:rPr>
            </w:pPr>
            <w:r w:rsidRPr="00A23F93">
              <w:rPr>
                <w:noProof/>
                <w:lang w:val="en-GB"/>
              </w:rPr>
              <mc:AlternateContent>
                <mc:Choice Requires="wps">
                  <w:drawing>
                    <wp:anchor distT="0" distB="0" distL="114300" distR="114300" simplePos="0" relativeHeight="251658241" behindDoc="0" locked="0" layoutInCell="1" allowOverlap="1" wp14:anchorId="5EE7104E" wp14:editId="616964E3">
                      <wp:simplePos x="0" y="0"/>
                      <wp:positionH relativeFrom="column">
                        <wp:posOffset>-1843</wp:posOffset>
                      </wp:positionH>
                      <wp:positionV relativeFrom="paragraph">
                        <wp:posOffset>45786</wp:posOffset>
                      </wp:positionV>
                      <wp:extent cx="0" cy="605860"/>
                      <wp:effectExtent l="0" t="0" r="38100" b="22860"/>
                      <wp:wrapNone/>
                      <wp:docPr id="842212949" name="Straight Connector 7"/>
                      <wp:cNvGraphicFramePr/>
                      <a:graphic xmlns:a="http://schemas.openxmlformats.org/drawingml/2006/main">
                        <a:graphicData uri="http://schemas.microsoft.com/office/word/2010/wordprocessingShape">
                          <wps:wsp>
                            <wps:cNvCnPr/>
                            <wps:spPr>
                              <a:xfrm>
                                <a:off x="0" y="0"/>
                                <a:ext cx="0" cy="605860"/>
                              </a:xfrm>
                              <a:prstGeom prst="line">
                                <a:avLst/>
                              </a:prstGeom>
                              <a:ln w="12700">
                                <a:solidFill>
                                  <a:schemeClr val="bg2"/>
                                </a:solidFill>
                                <a:headEnd type="none"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xmlns:w14="http://schemas.microsoft.com/office/word/2010/wordml" xmlns:o="urn:schemas-microsoft-com:office:office" xmlns:v="urn:schemas-microsoft-com:vml" id="Straight Connector 7"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2b5 [321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" from="-.15pt,3.6pt" to="-.15pt,51.3pt" w14:anchorId="73FC190B"/>
                  </w:pict>
                </mc:Fallback>
              </mc:AlternateContent>
            </w:r>
            <w:r w:rsidR="000652FB">
              <w:rPr>
                <w:lang w:val="en-GB"/>
              </w:rPr>
              <w:t xml:space="preserve">Schroder ISF* </w:t>
            </w:r>
            <w:r w:rsidR="00C96DBF">
              <w:rPr>
                <w:lang w:val="en-GB"/>
              </w:rPr>
              <w:t>EURO</w:t>
            </w:r>
            <w:r w:rsidR="000652FB">
              <w:rPr>
                <w:lang w:val="en-GB"/>
              </w:rPr>
              <w:t xml:space="preserve"> Credit Conviction Short Duration</w:t>
            </w:r>
            <w:r w:rsidR="00B530CB">
              <w:rPr>
                <w:lang w:val="en-GB"/>
              </w:rPr>
              <w:t xml:space="preserve"> </w:t>
            </w:r>
          </w:p>
        </w:tc>
      </w:tr>
    </w:tbl>
    <w:p w14:paraId="3D5E7805" w14:textId="77777777" w:rsidR="00626DB0" w:rsidRPr="00A23F93" w:rsidRDefault="00794888" w:rsidP="007B5A24">
      <w:pPr>
        <w:pStyle w:val="BodytextRegular"/>
      </w:pPr>
      <w:r>
        <w:rPr>
          <w:noProof/>
        </w:rPr>
        <w:drawing>
          <wp:anchor distT="0" distB="0" distL="114300" distR="114300" simplePos="0" relativeHeight="251658240" behindDoc="1" locked="0" layoutInCell="1" allowOverlap="1" wp14:anchorId="3979A4FE" wp14:editId="0A9ADEF9">
            <wp:simplePos x="0" y="0"/>
            <wp:positionH relativeFrom="column">
              <wp:posOffset>-534035</wp:posOffset>
            </wp:positionH>
            <wp:positionV relativeFrom="paragraph">
              <wp:posOffset>-597534</wp:posOffset>
            </wp:positionV>
            <wp:extent cx="7571491" cy="2647950"/>
            <wp:effectExtent l="0" t="0" r="0" b="0"/>
            <wp:wrapNone/>
            <wp:docPr id="12676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823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77643" cy="265010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152"/>
        <w:tblW w:w="10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92"/>
      </w:tblGrid>
      <w:tr w:rsidR="00A91EC8" w:rsidRPr="00A23F93" w14:paraId="68BEF524" w14:textId="77777777" w:rsidTr="00286B89">
        <w:trPr>
          <w:trHeight w:val="361"/>
        </w:trPr>
        <w:tc>
          <w:tcPr>
            <w:tcW w:w="10292" w:type="dxa"/>
            <w:tcMar>
              <w:left w:w="0" w:type="dxa"/>
              <w:right w:w="0" w:type="dxa"/>
            </w:tcMar>
            <w:vAlign w:val="center"/>
          </w:tcPr>
          <w:p w14:paraId="6C2F2C2F" w14:textId="77777777" w:rsidR="00A91EC8" w:rsidRPr="006B3B46" w:rsidRDefault="00A91EC8" w:rsidP="00286B89">
            <w:pPr>
              <w:pStyle w:val="Coverdate"/>
              <w:spacing w:after="60"/>
            </w:pPr>
            <w:r>
              <w:rPr>
                <w:noProof w:val="0"/>
              </w:rPr>
              <w:t xml:space="preserve">Fund Manager: </w:t>
            </w:r>
            <w:r>
              <w:t>Patrick Vogel</w:t>
            </w:r>
            <w:r w:rsidR="00D67FCC">
              <w:t xml:space="preserve"> </w:t>
            </w:r>
          </w:p>
        </w:tc>
      </w:tr>
      <w:tr w:rsidR="00A91EC8" w:rsidRPr="00A23F93" w14:paraId="2E9C74F4" w14:textId="77777777" w:rsidTr="00286B89">
        <w:trPr>
          <w:trHeight w:val="351"/>
        </w:trPr>
        <w:tc>
          <w:tcPr>
            <w:tcW w:w="10292" w:type="dxa"/>
            <w:tcMar>
              <w:left w:w="0" w:type="dxa"/>
              <w:right w:w="0" w:type="dxa"/>
            </w:tcMar>
            <w:vAlign w:val="center"/>
          </w:tcPr>
          <w:p w14:paraId="00CF5FD7" w14:textId="77777777" w:rsidR="00A91EC8" w:rsidRPr="00A23F93" w:rsidRDefault="00A91EC8" w:rsidP="00286B89">
            <w:pPr>
              <w:pStyle w:val="Coverdate"/>
              <w:spacing w:after="60"/>
              <w:rPr>
                <w:noProof w:val="0"/>
              </w:rPr>
            </w:pPr>
            <w:r w:rsidRPr="00A23F93">
              <w:rPr>
                <w:noProof w:val="0"/>
              </w:rPr>
              <w:t xml:space="preserve">Fund update: </w:t>
            </w:r>
            <w:r>
              <w:rPr>
                <w:noProof w:val="0"/>
              </w:rPr>
              <w:t xml:space="preserve">July 2026 </w:t>
            </w:r>
          </w:p>
        </w:tc>
      </w:tr>
      <w:tr w:rsidR="00A91EC8" w:rsidRPr="00A23F93" w14:paraId="73D79511" w14:textId="77777777" w:rsidTr="00286B89">
        <w:trPr>
          <w:trHeight w:val="287"/>
        </w:trPr>
        <w:tc>
          <w:tcPr>
            <w:tcW w:w="10292" w:type="dxa"/>
            <w:tcMar>
              <w:left w:w="0" w:type="dxa"/>
              <w:right w:w="0" w:type="dxa"/>
            </w:tcMar>
            <w:vAlign w:val="center"/>
          </w:tcPr>
          <w:p w14:paraId="433F70CF" w14:textId="77777777" w:rsidR="00A91EC8" w:rsidRPr="00A23F93" w:rsidRDefault="00A91EC8" w:rsidP="00286B89">
            <w:pPr>
              <w:pStyle w:val="Coverdisclaimer"/>
              <w:spacing w:after="60"/>
              <w:rPr>
                <w:noProof w:val="0"/>
              </w:rPr>
            </w:pPr>
            <w:r>
              <w:rPr>
                <w:noProof w:val="0"/>
              </w:rPr>
              <w:t>Marketing material f</w:t>
            </w:r>
            <w:r w:rsidRPr="00A23F93">
              <w:rPr>
                <w:noProof w:val="0"/>
              </w:rPr>
              <w:t>or professional clients only.</w:t>
            </w:r>
          </w:p>
        </w:tc>
      </w:tr>
    </w:tbl>
    <w:p w14:paraId="307EA9DC" w14:textId="77777777" w:rsidR="00A119CB" w:rsidRDefault="00A119CB" w:rsidP="007B5A24">
      <w:pPr>
        <w:pStyle w:val="BodytextRegular"/>
      </w:pPr>
    </w:p>
    <w:p w14:paraId="064719FE" w14:textId="77777777" w:rsidR="0032766B" w:rsidRDefault="0032766B" w:rsidP="007B5A24">
      <w:pPr>
        <w:pStyle w:val="Paragraphheaderprussiannavy"/>
      </w:pPr>
      <w:bookmarkStart w:id="0" w:name="_Toc72584036"/>
      <w:bookmarkStart w:id="1" w:name="_Toc72515832"/>
    </w:p>
    <w:p w14:paraId="70BCDA2C" w14:textId="77777777" w:rsidR="00A119CB" w:rsidRPr="00A23F93" w:rsidRDefault="00A119CB" w:rsidP="007B5A24">
      <w:pPr>
        <w:pStyle w:val="Paragraphheaderprussiannavy"/>
      </w:pPr>
      <w:r w:rsidRPr="00A23F93">
        <w:t>Market Review</w:t>
      </w:r>
    </w:p>
    <w:p w14:paraId="4E0C8EFE" w14:textId="77777777" w:rsidR="00C96DBF" w:rsidRDefault="00C66ABB" w:rsidP="007B5A24">
      <w:pPr>
        <w:pStyle w:val="BodytextRegular"/>
        <w:spacing w:before="240"/>
      </w:pPr>
      <w:r>
        <w:t xml:space="preserve">Global bond markets faced several challenges in July. Bond yields rose, continuing to track energy prices closely. Renewed US-Iran tensions drove oil prices higher, with Brent crude briefly touching just over $100 a barrel, as investors priced in fresh risks of disruption in the Strait of Hormuz and the wider region. Corporate bonds initially held up well, however renewed geopolitical escalation and the subsequent jump in oil prices and government bond yields tested that resilience as the month </w:t>
      </w:r>
      <w:proofErr w:type="spellStart"/>
      <w:r>
        <w:t>progressed.</w:t>
      </w:r>
      <w:proofErr w:type="spellEnd"/>
    </w:p>
    <w:p w14:paraId="48D6D0BD" w14:textId="77777777" w:rsidR="00C96DBF" w:rsidRDefault="00C66ABB" w:rsidP="007B5A24">
      <w:pPr>
        <w:pStyle w:val="BodytextRegular"/>
        <w:spacing w:before="240"/>
      </w:pPr>
      <w:r>
        <w:t>European credit registered negative total returns, although spreads ended the month marginally tighter, outperforming government bonds. Performance diverged notably by sector and duration, with spreads in technology-related credit particularly long-dated issues widening sharply as investors questioned whether AI-related capital expenditure (capex) had moved too far.</w:t>
      </w:r>
    </w:p>
    <w:p w14:paraId="385D8405" w14:textId="77777777" w:rsidR="00C96DBF" w:rsidRDefault="00C66ABB" w:rsidP="007B5A24">
      <w:pPr>
        <w:pStyle w:val="BodytextRegular"/>
        <w:spacing w:before="240"/>
      </w:pPr>
      <w:r>
        <w:t xml:space="preserve">The catalyst for this sell-off was the unexpected $25bn issue in several tranches from Amazon, priced at a significantly higher yield for the long-dated bonds, which drew the weakest demand this year and raised concerns about the risk appetite among investors to absorb further large-scale AI-related supply from </w:t>
      </w:r>
      <w:proofErr w:type="spellStart"/>
      <w:r>
        <w:t>hyperscalers</w:t>
      </w:r>
      <w:proofErr w:type="spellEnd"/>
      <w:r>
        <w:t xml:space="preserve">. These concerns were heightened by second quarter results from Alphabet as although earnings and revenues exceeded forecasts, Google’s parent company announced a substantial upward revision in capex guidance for the year. </w:t>
      </w:r>
      <w:r>
        <w:br/>
      </w:r>
      <w:r>
        <w:br/>
        <w:t xml:space="preserve">The second quarter earnings season in Europe highlighted divergence between sectors, with </w:t>
      </w:r>
      <w:proofErr w:type="gramStart"/>
      <w:r>
        <w:t>particular strength</w:t>
      </w:r>
      <w:proofErr w:type="gramEnd"/>
      <w:r>
        <w:t xml:space="preserve"> in energy – buoyed by higher oil prices – and in financials, notably banks which have benefitted from growth in net interest margins. Capital goods sectors also highlighted strong revenue growth, boosted by the data centre build out. By contrast, autos and consumer cyclicals have been facing substantial headwinds, with several consumer names downgrading annual forecasts due to rising energy costs and competitive pressures. </w:t>
      </w:r>
      <w:r>
        <w:br/>
      </w:r>
      <w:r>
        <w:br/>
        <w:t>Softer eurozone inflation data in early July initially encouraged bond markets to scale back some of the interest rate hikes priced in over the next 12 months, with both the headline and core consumer price indices (CPI) surprising on the downside. However, the subsequent surge in oil and European natural gas prices reversed that narrative.</w:t>
      </w:r>
    </w:p>
    <w:p w14:paraId="180AACF8" w14:textId="478B892F" w:rsidR="00A119CB" w:rsidRPr="00A23F93" w:rsidRDefault="00C66ABB" w:rsidP="007B5A24">
      <w:pPr>
        <w:pStyle w:val="BodytextRegular"/>
        <w:spacing w:before="240"/>
      </w:pPr>
      <w:r>
        <w:t>Meanwhile, the European Central Bank (ECB) kept its deposit rate at 2.25% in line with expectations. However, the ECB did little to push back against market pricing for further interest rate rises, given resilient growth with the second quarter GDP figure highlighting the eurozone economy grew by 0.4% led by Spain, while the German, French and Italian economies all expanded. Against this backdrop, government bond yields climbed to multi-year highs.</w:t>
      </w:r>
    </w:p>
    <w:p w14:paraId="6C9A579E" w14:textId="122A0D9A" w:rsidR="00A119CB" w:rsidRPr="00A23F93" w:rsidRDefault="00A119CB" w:rsidP="007B5A24">
      <w:pPr>
        <w:pStyle w:val="Paragraphheaderprussiannavy"/>
      </w:pPr>
      <w:r w:rsidRPr="00A23F93">
        <w:t>Driv</w:t>
      </w:r>
      <w:r w:rsidR="00C96DBF">
        <w:t>e</w:t>
      </w:r>
      <w:r w:rsidRPr="00A23F93">
        <w:t>rs of Fund Performance</w:t>
      </w:r>
    </w:p>
    <w:p w14:paraId="0F5252DD" w14:textId="77777777" w:rsidR="00C96DBF" w:rsidRDefault="00C66ABB" w:rsidP="007B5A24">
      <w:pPr>
        <w:pStyle w:val="BodytextRegular"/>
        <w:spacing w:before="240"/>
      </w:pPr>
      <w:r>
        <w:t>The fund posted a negative total return and performed in line with the reference benchmark during July after fees.</w:t>
      </w:r>
    </w:p>
    <w:p w14:paraId="6A7C62FD" w14:textId="6441AC78" w:rsidR="00C96DBF" w:rsidRDefault="00C96DBF" w:rsidP="007B5A24">
      <w:pPr>
        <w:pStyle w:val="BodytextRegular"/>
        <w:spacing w:before="240"/>
      </w:pPr>
      <w:r>
        <w:t>P</w:t>
      </w:r>
      <w:r w:rsidR="00C66ABB">
        <w:t xml:space="preserve">ositioning in the real estate and energy sectors and in subordinated financials made a positive contribution to performance over the month. In both cases, the positive quarterly earnings backdrop was well received by credit investors. </w:t>
      </w:r>
    </w:p>
    <w:p w14:paraId="78204B12" w14:textId="1BCEE037" w:rsidR="00A119CB" w:rsidRPr="00A23F93" w:rsidRDefault="00C66ABB" w:rsidP="007B5A24">
      <w:pPr>
        <w:pStyle w:val="BodytextRegular"/>
        <w:spacing w:before="240"/>
      </w:pPr>
      <w:r>
        <w:t xml:space="preserve">Off-benchmark exposure to government bonds and USD-denominated services was also additive. On the other hand, exposure to data centre infrastructure providers detracted on concerns about the volume on new issuance arising from large scale investment from </w:t>
      </w:r>
      <w:proofErr w:type="spellStart"/>
      <w:r>
        <w:t>hyperscalers</w:t>
      </w:r>
      <w:proofErr w:type="spellEnd"/>
      <w:r>
        <w:t xml:space="preserve"> in data centre assets. </w:t>
      </w:r>
      <w:r>
        <w:br/>
        <w:t xml:space="preserve"> </w:t>
      </w:r>
    </w:p>
    <w:p w14:paraId="09ECE95A" w14:textId="77777777" w:rsidR="00A119CB" w:rsidRPr="00A23F93" w:rsidRDefault="00A119CB" w:rsidP="007B5A24">
      <w:pPr>
        <w:pStyle w:val="Paragraphheaderprussiannavy"/>
      </w:pPr>
      <w:r w:rsidRPr="00A23F93">
        <w:lastRenderedPageBreak/>
        <w:t>Portfolio Activity</w:t>
      </w:r>
    </w:p>
    <w:p w14:paraId="2E179709" w14:textId="77777777" w:rsidR="00C96DBF" w:rsidRDefault="00C66ABB" w:rsidP="007B5A24">
      <w:pPr>
        <w:pStyle w:val="BodytextRegular"/>
        <w:spacing w:before="240"/>
      </w:pPr>
      <w:r>
        <w:t xml:space="preserve">As credit spreads remained compressed, there was little change over the month to portfolio headline duration and spread duration, which was kept in line with the benchmark with the emphasis on identifying investment opportunities providing good carry. </w:t>
      </w:r>
    </w:p>
    <w:p w14:paraId="1CDA0657" w14:textId="77777777" w:rsidR="00C96DBF" w:rsidRDefault="00C66ABB" w:rsidP="007B5A24">
      <w:pPr>
        <w:pStyle w:val="BodytextRegular"/>
        <w:spacing w:before="240"/>
      </w:pPr>
      <w:r>
        <w:t>Among financials, we added a new short-dated issue from a US investment bank which was floated after the announcement of strong second quarter earnings, on an attractive yield premium to Treasuries of an equivalent maturity.</w:t>
      </w:r>
    </w:p>
    <w:p w14:paraId="59B55500" w14:textId="106564D5" w:rsidR="00C96DBF" w:rsidRDefault="00C66ABB" w:rsidP="007B5A24">
      <w:pPr>
        <w:pStyle w:val="BodytextRegular"/>
        <w:spacing w:before="240"/>
      </w:pPr>
      <w:r>
        <w:t xml:space="preserve">In emerging markets, we added a high yielding new issue from a Hungarian bank. We are positive on the outlook for Hungarian credit, as the new government is committed to meeting the requirements for joining the euro. </w:t>
      </w:r>
      <w:r>
        <w:br/>
        <w:t xml:space="preserve">We reduced exposure to cyclical sectors, moving further underweight in auto manufacturers and component suppliers, and took profits on several higher yielding holdings. </w:t>
      </w:r>
    </w:p>
    <w:p w14:paraId="634E2D2B" w14:textId="182CCAFC" w:rsidR="002C423C" w:rsidRPr="00A23F93" w:rsidRDefault="00C66ABB" w:rsidP="00C96DBF">
      <w:pPr>
        <w:pStyle w:val="BodytextRegular"/>
        <w:spacing w:before="240"/>
      </w:pPr>
      <w:r>
        <w:t xml:space="preserve">We also reduced exposure to highly liquid short-dated core European government bonds, as well as exiting a holding in a major US </w:t>
      </w:r>
      <w:proofErr w:type="spellStart"/>
      <w:r>
        <w:t>hyperscaler</w:t>
      </w:r>
      <w:proofErr w:type="spellEnd"/>
      <w:r>
        <w:t>, to participate in the primary market.</w:t>
      </w:r>
      <w:r>
        <w:br/>
      </w:r>
      <w:r>
        <w:br/>
      </w:r>
      <w:r w:rsidR="002C423C" w:rsidRPr="00C96DBF">
        <w:rPr>
          <w:rFonts w:ascii="Schroders Circular TT" w:hAnsi="Schroders Circular TT"/>
          <w:b/>
          <w:color w:val="001E41" w:themeColor="accent1"/>
          <w:sz w:val="20"/>
          <w:szCs w:val="24"/>
        </w:rPr>
        <w:t>Outlook/positioning</w:t>
      </w:r>
    </w:p>
    <w:p w14:paraId="4927B77E" w14:textId="77777777" w:rsidR="002C423C" w:rsidRPr="00A23F93" w:rsidRDefault="00C66ABB" w:rsidP="007B5A24">
      <w:pPr>
        <w:pStyle w:val="BodytextRegular"/>
        <w:spacing w:before="240"/>
      </w:pPr>
      <w:r>
        <w:t xml:space="preserve">Given the eurozone’s reliance on energy imports, the region has been doubly affected since the outbreak of the Middle East conflict by the closure of the Strait of Hormuz due to the impact on natural gas prices, which are crucial for electricity supplies and for heating. </w:t>
      </w:r>
      <w:r>
        <w:br/>
      </w:r>
      <w:r>
        <w:br/>
        <w:t xml:space="preserve">While inflationary pressures had eased with the announcement of a ceasefire between in the Middle East between the US and Iran, the flash headline CPI data published at the end of July highlighted the impact of a renewed rise in energy prices following the recent re-escalation in the conflict. </w:t>
      </w:r>
      <w:r>
        <w:br/>
      </w:r>
      <w:r>
        <w:br/>
        <w:t xml:space="preserve">With the clear risk that the conflict could become more prolonged, the ECB is likely to be even more vigilant in monitoring the secondary impact of elevated energy prices, particularly on broader consumer prices and wage inflation. While the ECB’s response to the inflationary impact of the Middle East conflict should be markedly less hawkish than four years ago following the outbreak of the Russia/Ukraine conflict in 2022, a further hike in interest rates in September now appears likely. </w:t>
      </w:r>
      <w:r>
        <w:br/>
      </w:r>
      <w:r>
        <w:br/>
        <w:t xml:space="preserve">Nevertheless, while European bond markets are likely to remain driven by global events, credit fundamentals in Europe remain broadly solid, with strong balance sheets and limited refinancing risks overall. However, euro investment grade credit spreads at historically tight levels do not warrant adding risk and we have been very selective in the primary market, focusing on opportunities that provide good carry and favourable underlying credit fundamentals. </w:t>
      </w:r>
      <w:r>
        <w:br/>
        <w:t xml:space="preserve"> </w:t>
      </w:r>
    </w:p>
    <w:p w14:paraId="13B733B1" w14:textId="77777777" w:rsidR="00BE29C1" w:rsidRPr="00A23F93" w:rsidRDefault="00DB6B18" w:rsidP="007B5A24">
      <w:pPr>
        <w:pStyle w:val="Paragraphheaderprussiannavy"/>
      </w:pPr>
      <w:r>
        <w:t>Calendar</w:t>
      </w:r>
      <w:r w:rsidR="002C423C" w:rsidRPr="00A23F93">
        <w:t xml:space="preserve"> </w:t>
      </w:r>
      <w:r w:rsidR="001D2095">
        <w:t>Y</w:t>
      </w:r>
      <w:r w:rsidR="002C423C" w:rsidRPr="00A23F93">
        <w:t xml:space="preserve">early </w:t>
      </w:r>
      <w:r w:rsidR="001D2095">
        <w:t>P</w:t>
      </w:r>
      <w:r w:rsidR="002C423C" w:rsidRPr="00A23F93">
        <w:t>erformance (%)</w:t>
      </w:r>
    </w:p>
    <w:p w14:paraId="7646DBBF" w14:textId="77777777" w:rsidR="00A119CB" w:rsidRDefault="008E3C39" w:rsidP="007B5A24">
      <w:pPr>
        <w:pStyle w:val="BodytextRegular"/>
      </w:pPr>
      <w:r w:rsidRPr="008E3C39">
        <w:rPr>
          <w:b/>
          <w:bCs/>
        </w:rPr>
        <w:t>Past performance is not a guide to future performance and may not be repeated</w:t>
      </w:r>
      <w:r w:rsidR="002C423C" w:rsidRPr="00A23F93">
        <w:rPr>
          <w:b/>
          <w:bCs/>
        </w:rPr>
        <w:t>.</w:t>
      </w:r>
    </w:p>
    <w:tbl>
      <w:tblPr>
        <w:tblStyle w:val="Table"/>
        <w:tblW w:w="5000" w:type="pct"/>
        <w:tblLook w:val="0620" w:firstRow="1" w:lastRow="0" w:firstColumn="0" w:lastColumn="0" w:noHBand="1" w:noVBand="1"/>
      </w:tblPr>
      <w:tblGrid>
        <w:gridCol w:w="2041"/>
        <w:gridCol w:w="2755"/>
        <w:gridCol w:w="2755"/>
        <w:gridCol w:w="2653"/>
      </w:tblGrid>
      <w:tr w:rsidR="00577226" w:rsidRPr="00A23F93" w14:paraId="371747F6" w14:textId="77777777" w:rsidTr="00275704">
        <w:trPr>
          <w:cnfStyle w:val="100000000000" w:firstRow="1" w:lastRow="0" w:firstColumn="0" w:lastColumn="0" w:oddVBand="0" w:evenVBand="0" w:oddHBand="0" w:evenHBand="0" w:firstRowFirstColumn="0" w:firstRowLastColumn="0" w:lastRowFirstColumn="0" w:lastRowLastColumn="0"/>
          <w:trHeight w:val="391"/>
        </w:trPr>
        <w:tc>
          <w:tcPr>
            <w:tcW w:w="1000" w:type="pct"/>
          </w:tcPr>
          <w:p w14:paraId="17693569" w14:textId="77777777" w:rsidR="00577226" w:rsidRPr="00A23F93" w:rsidRDefault="00577226" w:rsidP="0004186D">
            <w:pPr>
              <w:pStyle w:val="Tabletext"/>
              <w:spacing w:before="0" w:after="0"/>
            </w:pPr>
            <w:r>
              <w:t>Period</w:t>
            </w:r>
          </w:p>
        </w:tc>
        <w:tc>
          <w:tcPr>
            <w:tcW w:w="1350" w:type="pct"/>
          </w:tcPr>
          <w:p w14:paraId="3A32BCE9" w14:textId="77777777" w:rsidR="00577226" w:rsidRPr="00A23F93" w:rsidRDefault="00501848" w:rsidP="0004186D">
            <w:pPr>
              <w:pStyle w:val="Tabletext"/>
              <w:spacing w:before="0" w:after="0"/>
              <w:ind w:right="563"/>
              <w:jc w:val="right"/>
            </w:pPr>
            <w:r>
              <w:t xml:space="preserve">Fund A </w:t>
            </w:r>
            <w:proofErr w:type="spellStart"/>
            <w:r>
              <w:t>Acc</w:t>
            </w:r>
            <w:proofErr w:type="spellEnd"/>
            <w:r>
              <w:t xml:space="preserve"> EUR </w:t>
            </w:r>
          </w:p>
        </w:tc>
        <w:tc>
          <w:tcPr>
            <w:tcW w:w="1350" w:type="pct"/>
          </w:tcPr>
          <w:p w14:paraId="47860039" w14:textId="77777777" w:rsidR="00577226" w:rsidRDefault="00501848" w:rsidP="0004186D">
            <w:pPr>
              <w:pStyle w:val="Tabletext"/>
              <w:spacing w:before="0" w:after="0"/>
              <w:ind w:right="563"/>
              <w:jc w:val="right"/>
            </w:pPr>
            <w:r>
              <w:t xml:space="preserve">Fund I </w:t>
            </w:r>
            <w:proofErr w:type="spellStart"/>
            <w:r>
              <w:t>Acc</w:t>
            </w:r>
            <w:proofErr w:type="spellEnd"/>
            <w:r>
              <w:t xml:space="preserve"> EUR</w:t>
            </w:r>
            <w:r w:rsidR="00577226">
              <w:t xml:space="preserve"> </w:t>
            </w:r>
          </w:p>
        </w:tc>
        <w:tc>
          <w:tcPr>
            <w:tcW w:w="1300" w:type="pct"/>
          </w:tcPr>
          <w:p w14:paraId="7AC372C7" w14:textId="77777777" w:rsidR="00577226" w:rsidRPr="00501848" w:rsidRDefault="007B2F34" w:rsidP="0004186D">
            <w:pPr>
              <w:pStyle w:val="Tabletext"/>
              <w:spacing w:before="0" w:after="0"/>
              <w:ind w:right="563"/>
              <w:jc w:val="right"/>
              <w:rPr>
                <w:szCs w:val="18"/>
              </w:rPr>
            </w:pPr>
            <w:r>
              <w:rPr>
                <w:szCs w:val="18"/>
              </w:rPr>
              <w:t>Benchmark</w:t>
            </w:r>
            <w:r w:rsidR="00501848" w:rsidRPr="00501848">
              <w:rPr>
                <w:szCs w:val="18"/>
                <w:vertAlign w:val="superscript"/>
              </w:rPr>
              <w:t>1</w:t>
            </w:r>
            <w:r w:rsidR="00577226" w:rsidRPr="00501848">
              <w:rPr>
                <w:szCs w:val="18"/>
              </w:rPr>
              <w:t xml:space="preserve"> </w:t>
            </w:r>
          </w:p>
        </w:tc>
      </w:tr>
      <w:tr w:rsidR="00577226" w:rsidRPr="00A23F93" w14:paraId="10BC3744" w14:textId="77777777" w:rsidTr="00646448">
        <w:trPr>
          <w:trHeight w:val="391"/>
        </w:trPr>
        <w:tc>
          <w:tcPr>
            <w:tcW w:w="1000" w:type="pct"/>
          </w:tcPr>
          <w:p w14:paraId="13307206" w14:textId="77777777" w:rsidR="00577226" w:rsidRPr="00A23F93" w:rsidRDefault="00577226" w:rsidP="0004186D">
            <w:pPr>
              <w:pStyle w:val="Tabletext"/>
              <w:spacing w:before="0" w:after="0"/>
            </w:pPr>
            <w:r>
              <w:t xml:space="preserve">2025 </w:t>
            </w:r>
          </w:p>
        </w:tc>
        <w:tc>
          <w:tcPr>
            <w:tcW w:w="1350" w:type="pct"/>
          </w:tcPr>
          <w:p w14:paraId="449318DC" w14:textId="77777777" w:rsidR="00577226" w:rsidRPr="00A23F93" w:rsidRDefault="00577226" w:rsidP="0004186D">
            <w:pPr>
              <w:pStyle w:val="Tabletext"/>
              <w:spacing w:before="0" w:after="0"/>
              <w:ind w:right="563"/>
              <w:jc w:val="right"/>
            </w:pPr>
            <w:r>
              <w:t xml:space="preserve">3.5 </w:t>
            </w:r>
          </w:p>
        </w:tc>
        <w:tc>
          <w:tcPr>
            <w:tcW w:w="1350" w:type="pct"/>
          </w:tcPr>
          <w:p w14:paraId="5A2D911A" w14:textId="77777777" w:rsidR="00577226" w:rsidRDefault="00577226" w:rsidP="0004186D">
            <w:pPr>
              <w:pStyle w:val="Tabletext"/>
              <w:spacing w:before="0" w:after="0"/>
              <w:ind w:right="563"/>
              <w:jc w:val="right"/>
            </w:pPr>
            <w:r>
              <w:t xml:space="preserve">5.0 </w:t>
            </w:r>
          </w:p>
        </w:tc>
        <w:tc>
          <w:tcPr>
            <w:tcW w:w="1300" w:type="pct"/>
          </w:tcPr>
          <w:p w14:paraId="212482D7" w14:textId="77777777" w:rsidR="00577226" w:rsidRPr="00A23F93" w:rsidRDefault="00577226" w:rsidP="0004186D">
            <w:pPr>
              <w:pStyle w:val="Tabletext"/>
              <w:spacing w:before="0" w:after="0"/>
              <w:ind w:right="563"/>
              <w:jc w:val="right"/>
            </w:pPr>
            <w:r>
              <w:t>3.7</w:t>
            </w:r>
          </w:p>
        </w:tc>
      </w:tr>
      <w:tr w:rsidR="00577226" w:rsidRPr="00A23F93" w14:paraId="25AFD9DE" w14:textId="77777777" w:rsidTr="00646448">
        <w:trPr>
          <w:trHeight w:val="391"/>
        </w:trPr>
        <w:tc>
          <w:tcPr>
            <w:tcW w:w="1000" w:type="pct"/>
          </w:tcPr>
          <w:p w14:paraId="1FA0F848" w14:textId="77777777" w:rsidR="00577226" w:rsidRPr="00A23F93" w:rsidRDefault="00577226" w:rsidP="0004186D">
            <w:pPr>
              <w:pStyle w:val="Tabletext"/>
              <w:spacing w:before="0" w:after="0"/>
            </w:pPr>
            <w:r>
              <w:t xml:space="preserve">2024 </w:t>
            </w:r>
          </w:p>
        </w:tc>
        <w:tc>
          <w:tcPr>
            <w:tcW w:w="1350" w:type="pct"/>
          </w:tcPr>
          <w:p w14:paraId="7D61AE0E" w14:textId="77777777" w:rsidR="00577226" w:rsidRPr="00A23F93" w:rsidRDefault="00577226" w:rsidP="0004186D">
            <w:pPr>
              <w:pStyle w:val="Tabletext"/>
              <w:spacing w:before="0" w:after="0"/>
              <w:ind w:right="563"/>
              <w:jc w:val="right"/>
            </w:pPr>
            <w:r>
              <w:t xml:space="preserve">6.7 </w:t>
            </w:r>
          </w:p>
        </w:tc>
        <w:tc>
          <w:tcPr>
            <w:tcW w:w="1350" w:type="pct"/>
          </w:tcPr>
          <w:p w14:paraId="275F4F5D" w14:textId="77777777" w:rsidR="00577226" w:rsidRDefault="00577226" w:rsidP="0004186D">
            <w:pPr>
              <w:pStyle w:val="Tabletext"/>
              <w:spacing w:before="0" w:after="0"/>
              <w:ind w:right="563"/>
              <w:jc w:val="right"/>
            </w:pPr>
            <w:r>
              <w:t xml:space="preserve">8.2 </w:t>
            </w:r>
          </w:p>
        </w:tc>
        <w:tc>
          <w:tcPr>
            <w:tcW w:w="1300" w:type="pct"/>
          </w:tcPr>
          <w:p w14:paraId="0E747B6E" w14:textId="77777777" w:rsidR="00577226" w:rsidRPr="00A23F93" w:rsidRDefault="00577226" w:rsidP="0004186D">
            <w:pPr>
              <w:pStyle w:val="Tabletext"/>
              <w:spacing w:before="0" w:after="0"/>
              <w:ind w:right="563"/>
              <w:jc w:val="right"/>
            </w:pPr>
            <w:r>
              <w:t>5.4</w:t>
            </w:r>
          </w:p>
        </w:tc>
      </w:tr>
      <w:tr w:rsidR="00577226" w:rsidRPr="00A23F93" w14:paraId="48493166" w14:textId="77777777" w:rsidTr="00646448">
        <w:trPr>
          <w:trHeight w:val="391"/>
        </w:trPr>
        <w:tc>
          <w:tcPr>
            <w:tcW w:w="1000" w:type="pct"/>
          </w:tcPr>
          <w:p w14:paraId="6645E83F" w14:textId="77777777" w:rsidR="00577226" w:rsidRPr="00A23F93" w:rsidRDefault="00577226" w:rsidP="0004186D">
            <w:pPr>
              <w:pStyle w:val="Tabletext"/>
              <w:spacing w:before="0" w:after="0"/>
            </w:pPr>
            <w:r>
              <w:t xml:space="preserve">2023 </w:t>
            </w:r>
          </w:p>
        </w:tc>
        <w:tc>
          <w:tcPr>
            <w:tcW w:w="1350" w:type="pct"/>
          </w:tcPr>
          <w:p w14:paraId="22EBA77C" w14:textId="77777777" w:rsidR="00577226" w:rsidRPr="00A23F93" w:rsidRDefault="00577226" w:rsidP="0004186D">
            <w:pPr>
              <w:pStyle w:val="Tabletext"/>
              <w:spacing w:before="0" w:after="0"/>
              <w:ind w:right="563"/>
              <w:jc w:val="right"/>
            </w:pPr>
            <w:r>
              <w:t xml:space="preserve">9.2 </w:t>
            </w:r>
          </w:p>
        </w:tc>
        <w:tc>
          <w:tcPr>
            <w:tcW w:w="1350" w:type="pct"/>
          </w:tcPr>
          <w:p w14:paraId="4584F76B" w14:textId="77777777" w:rsidR="00577226" w:rsidRDefault="00577226" w:rsidP="0004186D">
            <w:pPr>
              <w:pStyle w:val="Tabletext"/>
              <w:spacing w:before="0" w:after="0"/>
              <w:ind w:right="563"/>
              <w:jc w:val="right"/>
            </w:pPr>
            <w:r>
              <w:t xml:space="preserve">10.7 </w:t>
            </w:r>
          </w:p>
        </w:tc>
        <w:tc>
          <w:tcPr>
            <w:tcW w:w="1300" w:type="pct"/>
          </w:tcPr>
          <w:p w14:paraId="1914A6A1" w14:textId="77777777" w:rsidR="00577226" w:rsidRPr="00A23F93" w:rsidRDefault="00577226" w:rsidP="0004186D">
            <w:pPr>
              <w:pStyle w:val="Tabletext"/>
              <w:spacing w:before="0" w:after="0"/>
              <w:ind w:right="563"/>
              <w:jc w:val="right"/>
            </w:pPr>
            <w:r>
              <w:t>6.4</w:t>
            </w:r>
          </w:p>
        </w:tc>
      </w:tr>
      <w:tr w:rsidR="00577226" w:rsidRPr="00A23F93" w14:paraId="0D336125" w14:textId="77777777" w:rsidTr="00646448">
        <w:trPr>
          <w:trHeight w:val="391"/>
        </w:trPr>
        <w:tc>
          <w:tcPr>
            <w:tcW w:w="1000" w:type="pct"/>
          </w:tcPr>
          <w:p w14:paraId="3AF8F7C3" w14:textId="77777777" w:rsidR="00577226" w:rsidRPr="00A23F93" w:rsidRDefault="00577226" w:rsidP="0004186D">
            <w:pPr>
              <w:pStyle w:val="Tabletext"/>
              <w:spacing w:before="0" w:after="0"/>
            </w:pPr>
            <w:r>
              <w:t xml:space="preserve">2022 </w:t>
            </w:r>
          </w:p>
        </w:tc>
        <w:tc>
          <w:tcPr>
            <w:tcW w:w="1350" w:type="pct"/>
          </w:tcPr>
          <w:p w14:paraId="7C45C848" w14:textId="77777777" w:rsidR="00577226" w:rsidRPr="00A23F93" w:rsidRDefault="00577226" w:rsidP="0004186D">
            <w:pPr>
              <w:pStyle w:val="Tabletext"/>
              <w:spacing w:before="0" w:after="0"/>
              <w:ind w:right="563"/>
              <w:jc w:val="right"/>
            </w:pPr>
            <w:r>
              <w:t xml:space="preserve">-11.6 </w:t>
            </w:r>
          </w:p>
        </w:tc>
        <w:tc>
          <w:tcPr>
            <w:tcW w:w="1350" w:type="pct"/>
          </w:tcPr>
          <w:p w14:paraId="1C216732" w14:textId="77777777" w:rsidR="00577226" w:rsidRDefault="00577226" w:rsidP="0004186D">
            <w:pPr>
              <w:pStyle w:val="Tabletext"/>
              <w:spacing w:before="0" w:after="0"/>
              <w:ind w:right="563"/>
              <w:jc w:val="right"/>
            </w:pPr>
            <w:r>
              <w:t xml:space="preserve">-10.3 </w:t>
            </w:r>
          </w:p>
        </w:tc>
        <w:tc>
          <w:tcPr>
            <w:tcW w:w="1300" w:type="pct"/>
          </w:tcPr>
          <w:p w14:paraId="4880B883" w14:textId="77777777" w:rsidR="00577226" w:rsidRPr="00A23F93" w:rsidRDefault="00577226" w:rsidP="0004186D">
            <w:pPr>
              <w:pStyle w:val="Tabletext"/>
              <w:spacing w:before="0" w:after="0"/>
              <w:ind w:right="563"/>
              <w:jc w:val="right"/>
            </w:pPr>
            <w:r>
              <w:t>0.4</w:t>
            </w:r>
          </w:p>
        </w:tc>
      </w:tr>
      <w:tr w:rsidR="00577226" w:rsidRPr="00A23F93" w14:paraId="2B02CDDF" w14:textId="77777777" w:rsidTr="00646448">
        <w:trPr>
          <w:trHeight w:val="391"/>
        </w:trPr>
        <w:tc>
          <w:tcPr>
            <w:tcW w:w="1000" w:type="pct"/>
          </w:tcPr>
          <w:p w14:paraId="07227CF8" w14:textId="77777777" w:rsidR="00577226" w:rsidRPr="00A23F93" w:rsidRDefault="00577226" w:rsidP="0004186D">
            <w:pPr>
              <w:pStyle w:val="Tabletext"/>
              <w:spacing w:before="0" w:after="0"/>
            </w:pPr>
            <w:r>
              <w:t xml:space="preserve">2021 </w:t>
            </w:r>
          </w:p>
        </w:tc>
        <w:tc>
          <w:tcPr>
            <w:tcW w:w="1350" w:type="pct"/>
          </w:tcPr>
          <w:p w14:paraId="5120F63B" w14:textId="77777777" w:rsidR="00577226" w:rsidRPr="00A23F93" w:rsidRDefault="00577226" w:rsidP="0004186D">
            <w:pPr>
              <w:pStyle w:val="Tabletext"/>
              <w:spacing w:before="0" w:after="0"/>
              <w:ind w:right="563"/>
              <w:jc w:val="right"/>
            </w:pPr>
            <w:r>
              <w:t xml:space="preserve">-0.7 </w:t>
            </w:r>
          </w:p>
        </w:tc>
        <w:tc>
          <w:tcPr>
            <w:tcW w:w="1350" w:type="pct"/>
          </w:tcPr>
          <w:p w14:paraId="789321DA" w14:textId="77777777" w:rsidR="00577226" w:rsidRDefault="00577226" w:rsidP="0004186D">
            <w:pPr>
              <w:pStyle w:val="Tabletext"/>
              <w:spacing w:before="0" w:after="0"/>
              <w:ind w:right="563"/>
              <w:jc w:val="right"/>
            </w:pPr>
            <w:r>
              <w:t xml:space="preserve">0.7 </w:t>
            </w:r>
          </w:p>
        </w:tc>
        <w:tc>
          <w:tcPr>
            <w:tcW w:w="1300" w:type="pct"/>
          </w:tcPr>
          <w:p w14:paraId="3F86A207" w14:textId="77777777" w:rsidR="00577226" w:rsidRPr="00A23F93" w:rsidRDefault="00577226" w:rsidP="0004186D">
            <w:pPr>
              <w:pStyle w:val="Tabletext"/>
              <w:spacing w:before="0" w:after="0"/>
              <w:ind w:right="563"/>
              <w:jc w:val="right"/>
            </w:pPr>
            <w:r>
              <w:t>-0.5</w:t>
            </w:r>
          </w:p>
        </w:tc>
      </w:tr>
      <w:tr w:rsidR="00577226" w:rsidRPr="00A23F93" w14:paraId="40B312E4" w14:textId="77777777" w:rsidTr="00646448">
        <w:trPr>
          <w:trHeight w:val="391"/>
        </w:trPr>
        <w:tc>
          <w:tcPr>
            <w:tcW w:w="1000" w:type="pct"/>
          </w:tcPr>
          <w:p w14:paraId="25A0A9FF" w14:textId="77777777" w:rsidR="00577226" w:rsidRPr="00A23F93" w:rsidRDefault="00577226" w:rsidP="0004186D">
            <w:pPr>
              <w:pStyle w:val="Tabletext"/>
              <w:spacing w:before="0" w:after="0"/>
            </w:pPr>
            <w:r>
              <w:t xml:space="preserve">2020 </w:t>
            </w:r>
          </w:p>
        </w:tc>
        <w:tc>
          <w:tcPr>
            <w:tcW w:w="1350" w:type="pct"/>
          </w:tcPr>
          <w:p w14:paraId="1FA66824" w14:textId="77777777" w:rsidR="00577226" w:rsidRPr="00A23F93" w:rsidRDefault="00577226" w:rsidP="0004186D">
            <w:pPr>
              <w:pStyle w:val="Tabletext"/>
              <w:spacing w:before="0" w:after="0"/>
              <w:ind w:right="563"/>
              <w:jc w:val="right"/>
            </w:pPr>
            <w:r>
              <w:t xml:space="preserve">2.8 </w:t>
            </w:r>
          </w:p>
        </w:tc>
        <w:tc>
          <w:tcPr>
            <w:tcW w:w="1350" w:type="pct"/>
          </w:tcPr>
          <w:p w14:paraId="4DF5F203" w14:textId="77777777" w:rsidR="00577226" w:rsidRDefault="00577226" w:rsidP="0004186D">
            <w:pPr>
              <w:pStyle w:val="Tabletext"/>
              <w:spacing w:before="0" w:after="0"/>
              <w:ind w:right="563"/>
              <w:jc w:val="right"/>
            </w:pPr>
            <w:r>
              <w:t xml:space="preserve">4.3 </w:t>
            </w:r>
          </w:p>
        </w:tc>
        <w:tc>
          <w:tcPr>
            <w:tcW w:w="1300" w:type="pct"/>
          </w:tcPr>
          <w:p w14:paraId="6F523B1F" w14:textId="77777777" w:rsidR="00577226" w:rsidRPr="00A23F93" w:rsidRDefault="00577226" w:rsidP="0004186D">
            <w:pPr>
              <w:pStyle w:val="Tabletext"/>
              <w:spacing w:before="0" w:after="0"/>
              <w:ind w:right="563"/>
              <w:jc w:val="right"/>
            </w:pPr>
            <w:r>
              <w:t>-0.4</w:t>
            </w:r>
          </w:p>
        </w:tc>
      </w:tr>
      <w:tr w:rsidR="00577226" w:rsidRPr="00A23F93" w14:paraId="02ED7CE1" w14:textId="77777777" w:rsidTr="00646448">
        <w:trPr>
          <w:trHeight w:val="391"/>
        </w:trPr>
        <w:tc>
          <w:tcPr>
            <w:tcW w:w="1000" w:type="pct"/>
          </w:tcPr>
          <w:p w14:paraId="30E88DC5" w14:textId="77777777" w:rsidR="00577226" w:rsidRPr="00A23F93" w:rsidRDefault="00577226" w:rsidP="0004186D">
            <w:pPr>
              <w:pStyle w:val="Tabletext"/>
              <w:spacing w:before="0" w:after="0"/>
            </w:pPr>
            <w:r>
              <w:t xml:space="preserve">2019 </w:t>
            </w:r>
          </w:p>
        </w:tc>
        <w:tc>
          <w:tcPr>
            <w:tcW w:w="1350" w:type="pct"/>
          </w:tcPr>
          <w:p w14:paraId="64938958" w14:textId="77777777" w:rsidR="00577226" w:rsidRPr="00A23F93" w:rsidRDefault="00577226" w:rsidP="0004186D">
            <w:pPr>
              <w:pStyle w:val="Tabletext"/>
              <w:spacing w:before="0" w:after="0"/>
              <w:ind w:right="563"/>
              <w:jc w:val="right"/>
            </w:pPr>
            <w:r>
              <w:t xml:space="preserve">6.5 </w:t>
            </w:r>
          </w:p>
        </w:tc>
        <w:tc>
          <w:tcPr>
            <w:tcW w:w="1350" w:type="pct"/>
          </w:tcPr>
          <w:p w14:paraId="0B08D973" w14:textId="77777777" w:rsidR="00577226" w:rsidRDefault="00577226" w:rsidP="0004186D">
            <w:pPr>
              <w:pStyle w:val="Tabletext"/>
              <w:spacing w:before="0" w:after="0"/>
              <w:ind w:right="563"/>
              <w:jc w:val="right"/>
            </w:pPr>
            <w:r>
              <w:t xml:space="preserve">8.0 </w:t>
            </w:r>
          </w:p>
        </w:tc>
        <w:tc>
          <w:tcPr>
            <w:tcW w:w="1300" w:type="pct"/>
          </w:tcPr>
          <w:p w14:paraId="6D8ADA81" w14:textId="77777777" w:rsidR="00577226" w:rsidRPr="00A23F93" w:rsidRDefault="00577226" w:rsidP="0004186D">
            <w:pPr>
              <w:pStyle w:val="Tabletext"/>
              <w:spacing w:before="0" w:after="0"/>
              <w:ind w:right="563"/>
              <w:jc w:val="right"/>
            </w:pPr>
            <w:r>
              <w:t>-0.4</w:t>
            </w:r>
          </w:p>
        </w:tc>
      </w:tr>
      <w:tr w:rsidR="00577226" w:rsidRPr="00A23F93" w14:paraId="5E052E29" w14:textId="77777777" w:rsidTr="00646448">
        <w:trPr>
          <w:trHeight w:val="391"/>
        </w:trPr>
        <w:tc>
          <w:tcPr>
            <w:tcW w:w="1000" w:type="pct"/>
          </w:tcPr>
          <w:p w14:paraId="6BDC7A82" w14:textId="77777777" w:rsidR="00577226" w:rsidRPr="00A23F93" w:rsidRDefault="00577226" w:rsidP="0004186D">
            <w:pPr>
              <w:pStyle w:val="Tabletext"/>
              <w:spacing w:before="0" w:after="0"/>
            </w:pPr>
            <w:r>
              <w:t xml:space="preserve">2018 </w:t>
            </w:r>
          </w:p>
        </w:tc>
        <w:tc>
          <w:tcPr>
            <w:tcW w:w="1350" w:type="pct"/>
          </w:tcPr>
          <w:p w14:paraId="0454C4F8" w14:textId="77777777" w:rsidR="00577226" w:rsidRPr="00A23F93" w:rsidRDefault="00577226" w:rsidP="0004186D">
            <w:pPr>
              <w:pStyle w:val="Tabletext"/>
              <w:spacing w:before="0" w:after="0"/>
              <w:ind w:right="563"/>
              <w:jc w:val="right"/>
            </w:pPr>
            <w:r>
              <w:t xml:space="preserve">-4.2 </w:t>
            </w:r>
          </w:p>
        </w:tc>
        <w:tc>
          <w:tcPr>
            <w:tcW w:w="1350" w:type="pct"/>
          </w:tcPr>
          <w:p w14:paraId="43150C53" w14:textId="77777777" w:rsidR="00577226" w:rsidRDefault="00577226" w:rsidP="0004186D">
            <w:pPr>
              <w:pStyle w:val="Tabletext"/>
              <w:spacing w:before="0" w:after="0"/>
              <w:ind w:right="563"/>
              <w:jc w:val="right"/>
            </w:pPr>
            <w:r>
              <w:t xml:space="preserve">-2.8 </w:t>
            </w:r>
          </w:p>
        </w:tc>
        <w:tc>
          <w:tcPr>
            <w:tcW w:w="1300" w:type="pct"/>
          </w:tcPr>
          <w:p w14:paraId="1986A8C4" w14:textId="77777777" w:rsidR="00577226" w:rsidRPr="00A23F93" w:rsidRDefault="00577226" w:rsidP="0004186D">
            <w:pPr>
              <w:pStyle w:val="Tabletext"/>
              <w:spacing w:before="0" w:after="0"/>
              <w:ind w:right="563"/>
              <w:jc w:val="right"/>
            </w:pPr>
            <w:r>
              <w:t>-0.4</w:t>
            </w:r>
          </w:p>
        </w:tc>
      </w:tr>
      <w:tr w:rsidR="00577226" w:rsidRPr="00A23F93" w14:paraId="7FCD63C3" w14:textId="77777777" w:rsidTr="00646448">
        <w:trPr>
          <w:trHeight w:val="391"/>
        </w:trPr>
        <w:tc>
          <w:tcPr>
            <w:tcW w:w="1000" w:type="pct"/>
          </w:tcPr>
          <w:p w14:paraId="07C8B543" w14:textId="77777777" w:rsidR="00577226" w:rsidRPr="00A23F93" w:rsidRDefault="00577226" w:rsidP="0004186D">
            <w:pPr>
              <w:pStyle w:val="Tabletext"/>
              <w:spacing w:before="0" w:after="0"/>
            </w:pPr>
            <w:r>
              <w:t xml:space="preserve">2017 </w:t>
            </w:r>
          </w:p>
        </w:tc>
        <w:tc>
          <w:tcPr>
            <w:tcW w:w="1350" w:type="pct"/>
          </w:tcPr>
          <w:p w14:paraId="39DE8110" w14:textId="77777777" w:rsidR="00577226" w:rsidRPr="00A23F93" w:rsidRDefault="00577226" w:rsidP="0004186D">
            <w:pPr>
              <w:pStyle w:val="Tabletext"/>
              <w:spacing w:before="0" w:after="0"/>
              <w:ind w:right="563"/>
              <w:jc w:val="right"/>
            </w:pPr>
            <w:r>
              <w:t xml:space="preserve">3.7 </w:t>
            </w:r>
          </w:p>
        </w:tc>
        <w:tc>
          <w:tcPr>
            <w:tcW w:w="1350" w:type="pct"/>
          </w:tcPr>
          <w:p w14:paraId="280A25B8" w14:textId="77777777" w:rsidR="00577226" w:rsidRDefault="00577226" w:rsidP="0004186D">
            <w:pPr>
              <w:pStyle w:val="Tabletext"/>
              <w:spacing w:before="0" w:after="0"/>
              <w:ind w:right="563"/>
              <w:jc w:val="right"/>
            </w:pPr>
            <w:r>
              <w:t xml:space="preserve">5.2 </w:t>
            </w:r>
          </w:p>
        </w:tc>
        <w:tc>
          <w:tcPr>
            <w:tcW w:w="1300" w:type="pct"/>
          </w:tcPr>
          <w:p w14:paraId="2855D4B1" w14:textId="77777777" w:rsidR="00577226" w:rsidRPr="00A23F93" w:rsidRDefault="00577226" w:rsidP="0004186D">
            <w:pPr>
              <w:pStyle w:val="Tabletext"/>
              <w:spacing w:before="0" w:after="0"/>
              <w:ind w:right="563"/>
              <w:jc w:val="right"/>
            </w:pPr>
            <w:r>
              <w:t>-0.3</w:t>
            </w:r>
          </w:p>
        </w:tc>
      </w:tr>
      <w:tr w:rsidR="00577226" w:rsidRPr="00A23F93" w14:paraId="51D11C14" w14:textId="77777777" w:rsidTr="00646448">
        <w:trPr>
          <w:trHeight w:val="391"/>
        </w:trPr>
        <w:tc>
          <w:tcPr>
            <w:tcW w:w="1000" w:type="pct"/>
          </w:tcPr>
          <w:p w14:paraId="05792B67" w14:textId="77777777" w:rsidR="00577226" w:rsidRPr="00A23F93" w:rsidRDefault="00577226" w:rsidP="0004186D">
            <w:pPr>
              <w:pStyle w:val="Tabletext"/>
              <w:spacing w:before="0" w:after="0"/>
            </w:pPr>
            <w:r>
              <w:lastRenderedPageBreak/>
              <w:t xml:space="preserve">2016 </w:t>
            </w:r>
          </w:p>
        </w:tc>
        <w:tc>
          <w:tcPr>
            <w:tcW w:w="1350" w:type="pct"/>
          </w:tcPr>
          <w:p w14:paraId="1482AFC4" w14:textId="77777777" w:rsidR="00577226" w:rsidRPr="00A23F93" w:rsidRDefault="00577226" w:rsidP="0004186D">
            <w:pPr>
              <w:pStyle w:val="Tabletext"/>
              <w:spacing w:before="0" w:after="0"/>
              <w:ind w:right="563"/>
              <w:jc w:val="right"/>
            </w:pPr>
            <w:r>
              <w:t xml:space="preserve">3.0 </w:t>
            </w:r>
          </w:p>
        </w:tc>
        <w:tc>
          <w:tcPr>
            <w:tcW w:w="1350" w:type="pct"/>
          </w:tcPr>
          <w:p w14:paraId="749D9F28" w14:textId="77777777" w:rsidR="00577226" w:rsidRDefault="00577226" w:rsidP="0004186D">
            <w:pPr>
              <w:pStyle w:val="Tabletext"/>
              <w:spacing w:before="0" w:after="0"/>
              <w:ind w:right="563"/>
              <w:jc w:val="right"/>
            </w:pPr>
            <w:r>
              <w:t xml:space="preserve">4.5 </w:t>
            </w:r>
          </w:p>
        </w:tc>
        <w:tc>
          <w:tcPr>
            <w:tcW w:w="1300" w:type="pct"/>
          </w:tcPr>
          <w:p w14:paraId="5DEFC122" w14:textId="77777777" w:rsidR="00577226" w:rsidRPr="00A23F93" w:rsidRDefault="00577226" w:rsidP="0004186D">
            <w:pPr>
              <w:pStyle w:val="Tabletext"/>
              <w:spacing w:before="0" w:after="0"/>
              <w:ind w:right="563"/>
              <w:jc w:val="right"/>
            </w:pPr>
            <w:r>
              <w:t>-0.3</w:t>
            </w:r>
          </w:p>
        </w:tc>
      </w:tr>
    </w:tbl>
    <w:p w14:paraId="5E2F063A" w14:textId="77777777" w:rsidR="005C664A" w:rsidRDefault="005C664A" w:rsidP="0004186D">
      <w:pPr>
        <w:pStyle w:val="BodytextRegular"/>
        <w:spacing w:after="0"/>
      </w:pPr>
    </w:p>
    <w:p w14:paraId="4D0ECC8A" w14:textId="77777777" w:rsidR="007D25B6" w:rsidRPr="00826685" w:rsidRDefault="009D5084" w:rsidP="007B5A24">
      <w:pPr>
        <w:pStyle w:val="Sourcetext"/>
        <w:spacing w:before="0" w:after="120" w:line="240" w:lineRule="auto"/>
        <w:rPr>
          <w:b/>
          <w:bCs/>
          <w:sz w:val="19"/>
          <w:szCs w:val="22"/>
        </w:rPr>
      </w:pPr>
      <w:bookmarkStart w:id="2" w:name="_Hlk208599288"/>
      <w:r w:rsidRPr="009D5084">
        <w:rPr>
          <w:szCs w:val="16"/>
        </w:rPr>
        <w:t>Source: Schroders, Morningstar, as of 31 July 2026. Performance shown is based on the currency of the share class shown and is net of fees.</w:t>
      </w:r>
      <w:r w:rsidRPr="000658EF">
        <w:t xml:space="preserve"> </w:t>
      </w:r>
      <w:r w:rsidRPr="009D5084">
        <w:rPr>
          <w:szCs w:val="16"/>
        </w:rPr>
        <w:t xml:space="preserve">A </w:t>
      </w:r>
      <w:proofErr w:type="spellStart"/>
      <w:r w:rsidRPr="009D5084">
        <w:rPr>
          <w:szCs w:val="16"/>
        </w:rPr>
        <w:t>Acc</w:t>
      </w:r>
      <w:proofErr w:type="spellEnd"/>
      <w:r w:rsidRPr="009D5084">
        <w:rPr>
          <w:szCs w:val="16"/>
        </w:rPr>
        <w:t xml:space="preserve"> Share class (LU1293074719) inception on 11 November 2015; I </w:t>
      </w:r>
      <w:proofErr w:type="spellStart"/>
      <w:r w:rsidRPr="009D5084">
        <w:rPr>
          <w:szCs w:val="16"/>
        </w:rPr>
        <w:t>Acc</w:t>
      </w:r>
      <w:proofErr w:type="spellEnd"/>
      <w:r w:rsidRPr="009D5084">
        <w:rPr>
          <w:szCs w:val="16"/>
        </w:rPr>
        <w:t xml:space="preserve"> Share class (LU1293074982) inception on 11 November 2015. Please see factsheet for other share classes. The value of investments and the income from them may go down as well as up and investors may not get back the amount originally invested</w:t>
      </w:r>
      <w:r w:rsidRPr="001246F1">
        <w:t>.</w:t>
      </w:r>
      <w:r w:rsidRPr="009D5084">
        <w:rPr>
          <w:b/>
          <w:bCs/>
          <w:szCs w:val="16"/>
        </w:rPr>
        <w:t xml:space="preserve"> 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246F1">
        <w:t>e</w:t>
      </w:r>
      <w:r w:rsidRPr="002061AF">
        <w:t>d</w:t>
      </w:r>
      <w:r w:rsidRPr="00826685">
        <w:rPr>
          <w:bCs/>
        </w:rPr>
        <w:t>.</w:t>
      </w:r>
      <w:bookmarkEnd w:id="2"/>
      <w:r w:rsidR="00CF55DA" w:rsidRPr="00EA57CD">
        <w:rPr>
          <w:b/>
          <w:bCs/>
        </w:rPr>
        <w:t xml:space="preserve"> </w:t>
      </w:r>
      <w:r w:rsidR="00CB3320" w:rsidRPr="002D7184">
        <w:t xml:space="preserve">The Fund’s investment universe is expected to overlap materially with the components of the target benchmark. The investment manager invests on a discretionary basis and there are no restrictions on the extent to which the Fund’s portfolio and performance may deviate from the target benchmark. The investment manager will invest in companies or sectors not included in the target benchmark </w:t>
      </w:r>
      <w:proofErr w:type="gramStart"/>
      <w:r w:rsidR="00CB3320" w:rsidRPr="002D7184">
        <w:t>in order to</w:t>
      </w:r>
      <w:proofErr w:type="gramEnd"/>
      <w:r w:rsidR="00CB3320" w:rsidRPr="002D7184">
        <w:t xml:space="preserve"> take advantage of specific investment opportunities.</w:t>
      </w:r>
      <w:r w:rsidR="00CB3320">
        <w:t xml:space="preserve"> </w:t>
      </w:r>
    </w:p>
    <w:p w14:paraId="4BC9B26F" w14:textId="77777777" w:rsidR="00AC2047" w:rsidRDefault="009D5084" w:rsidP="00407D1A">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1-5 Year BBB EURO Corporate Index.</w:t>
      </w:r>
    </w:p>
    <w:p w14:paraId="13CF202C" w14:textId="77777777" w:rsidR="007F6A85" w:rsidRPr="00642BAB" w:rsidRDefault="007F6A85" w:rsidP="007B5A24">
      <w:pPr>
        <w:pStyle w:val="Paragraphheaderprussiannavy"/>
        <w:rPr>
          <w:b w:val="0"/>
        </w:rPr>
      </w:pPr>
      <w:r>
        <w:t>P</w:t>
      </w:r>
      <w:r w:rsidRPr="00A23F93">
        <w:t xml:space="preserve">erformance </w:t>
      </w:r>
      <w:r w:rsidR="007B5A24">
        <w:t>S</w:t>
      </w:r>
      <w:r>
        <w:t xml:space="preserve">napshot </w:t>
      </w:r>
      <w:r w:rsidRPr="00A23F93">
        <w:t>(%)</w:t>
      </w:r>
    </w:p>
    <w:p w14:paraId="0C11F547" w14:textId="77777777" w:rsidR="007F6A85" w:rsidRDefault="00843726" w:rsidP="007B5A24">
      <w:pPr>
        <w:pStyle w:val="Sourcetext"/>
        <w:spacing w:before="0" w:after="120" w:line="240" w:lineRule="auto"/>
        <w:rPr>
          <w:b/>
          <w:bCs/>
          <w:sz w:val="18"/>
          <w:szCs w:val="18"/>
        </w:rPr>
      </w:pPr>
      <w:r w:rsidRPr="00843726">
        <w:rPr>
          <w:b/>
          <w:bCs/>
          <w:sz w:val="18"/>
          <w:szCs w:val="18"/>
        </w:rPr>
        <w:t>Past performance is not a guide to future performance and may not be repeated</w:t>
      </w:r>
      <w:r w:rsidR="007F6A85" w:rsidRPr="00CE1A02">
        <w:rPr>
          <w:b/>
          <w:bCs/>
          <w:sz w:val="18"/>
          <w:szCs w:val="18"/>
        </w:rPr>
        <w:t>.</w:t>
      </w:r>
    </w:p>
    <w:tbl>
      <w:tblPr>
        <w:tblStyle w:val="Table"/>
        <w:tblW w:w="5000" w:type="pct"/>
        <w:tblLook w:val="04A0" w:firstRow="1" w:lastRow="0" w:firstColumn="1" w:lastColumn="0" w:noHBand="0" w:noVBand="1"/>
      </w:tblPr>
      <w:tblGrid>
        <w:gridCol w:w="2532"/>
        <w:gridCol w:w="968"/>
        <w:gridCol w:w="985"/>
        <w:gridCol w:w="921"/>
        <w:gridCol w:w="932"/>
        <w:gridCol w:w="949"/>
        <w:gridCol w:w="949"/>
        <w:gridCol w:w="949"/>
        <w:gridCol w:w="1019"/>
      </w:tblGrid>
      <w:tr w:rsidR="00A9058B" w14:paraId="04EC0C12" w14:textId="77777777" w:rsidTr="00250EED">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tcPr>
          <w:p w14:paraId="27FB6E99" w14:textId="77777777" w:rsidR="00A9058B" w:rsidRDefault="00A9058B" w:rsidP="0004186D">
            <w:pPr>
              <w:pStyle w:val="BodytextRegular"/>
              <w:spacing w:before="0" w:after="0"/>
            </w:pPr>
          </w:p>
        </w:tc>
        <w:tc>
          <w:tcPr>
            <w:tcW w:w="1021" w:type="dxa"/>
          </w:tcPr>
          <w:p w14:paraId="73CEBA32"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Month</w:t>
            </w:r>
            <w:r w:rsidR="00A9058B">
              <w:t xml:space="preserve"> </w:t>
            </w:r>
          </w:p>
        </w:tc>
        <w:tc>
          <w:tcPr>
            <w:tcW w:w="1021" w:type="dxa"/>
          </w:tcPr>
          <w:p w14:paraId="5CCA0F77"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Months</w:t>
            </w:r>
            <w:r w:rsidR="00A9058B">
              <w:t xml:space="preserve"> </w:t>
            </w:r>
          </w:p>
        </w:tc>
        <w:tc>
          <w:tcPr>
            <w:tcW w:w="1021" w:type="dxa"/>
          </w:tcPr>
          <w:p w14:paraId="4EC03972"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YTD</w:t>
            </w:r>
            <w:r w:rsidR="00A9058B">
              <w:t xml:space="preserve"> </w:t>
            </w:r>
          </w:p>
        </w:tc>
        <w:tc>
          <w:tcPr>
            <w:tcW w:w="1021" w:type="dxa"/>
          </w:tcPr>
          <w:p w14:paraId="3F68B5DD"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Year</w:t>
            </w:r>
            <w:r w:rsidR="00A9058B">
              <w:t xml:space="preserve"> </w:t>
            </w:r>
          </w:p>
        </w:tc>
        <w:tc>
          <w:tcPr>
            <w:tcW w:w="1021" w:type="dxa"/>
          </w:tcPr>
          <w:p w14:paraId="2F15A4E5"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Years p.a.</w:t>
            </w:r>
            <w:r w:rsidR="00A9058B">
              <w:t xml:space="preserve"> </w:t>
            </w:r>
          </w:p>
        </w:tc>
        <w:tc>
          <w:tcPr>
            <w:tcW w:w="1021" w:type="dxa"/>
          </w:tcPr>
          <w:p w14:paraId="6C63B536"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5 Years p.a.</w:t>
            </w:r>
            <w:r w:rsidR="00A9058B">
              <w:t xml:space="preserve"> </w:t>
            </w:r>
          </w:p>
        </w:tc>
        <w:tc>
          <w:tcPr>
            <w:tcW w:w="1021" w:type="dxa"/>
          </w:tcPr>
          <w:p w14:paraId="482BD885"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10 Years p.a.</w:t>
            </w:r>
            <w:r w:rsidR="00A9058B">
              <w:t xml:space="preserve"> </w:t>
            </w:r>
          </w:p>
        </w:tc>
        <w:tc>
          <w:tcPr>
            <w:tcW w:w="1021" w:type="dxa"/>
          </w:tcPr>
          <w:p w14:paraId="551E428D"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Since Inception p.a.</w:t>
            </w:r>
            <w:r w:rsidR="00A9058B">
              <w:t xml:space="preserve"> </w:t>
            </w:r>
          </w:p>
        </w:tc>
      </w:tr>
      <w:tr w:rsidR="00A9058B" w14:paraId="5FE9412C"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6E97B0C7" w14:textId="77777777" w:rsidR="00A9058B" w:rsidRDefault="00DD71EF" w:rsidP="0004186D">
            <w:pPr>
              <w:pStyle w:val="BodytextRegular"/>
              <w:spacing w:before="0" w:after="0"/>
            </w:pPr>
            <w:r>
              <w:t xml:space="preserve">Fund A </w:t>
            </w:r>
            <w:proofErr w:type="spellStart"/>
            <w:r>
              <w:t>Acc</w:t>
            </w:r>
            <w:proofErr w:type="spellEnd"/>
            <w:r>
              <w:t xml:space="preserve"> EUR </w:t>
            </w:r>
          </w:p>
        </w:tc>
        <w:tc>
          <w:tcPr>
            <w:tcW w:w="1021" w:type="dxa"/>
          </w:tcPr>
          <w:p w14:paraId="4C65C2DF"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-0.5 </w:t>
            </w:r>
          </w:p>
        </w:tc>
        <w:tc>
          <w:tcPr>
            <w:tcW w:w="1021" w:type="dxa"/>
          </w:tcPr>
          <w:p w14:paraId="76F1B329"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0.6 </w:t>
            </w:r>
          </w:p>
        </w:tc>
        <w:tc>
          <w:tcPr>
            <w:tcW w:w="1021" w:type="dxa"/>
          </w:tcPr>
          <w:p w14:paraId="3173170B"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0.4 </w:t>
            </w:r>
          </w:p>
        </w:tc>
        <w:tc>
          <w:tcPr>
            <w:tcW w:w="1021" w:type="dxa"/>
          </w:tcPr>
          <w:p w14:paraId="2747D13F"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1.3 </w:t>
            </w:r>
          </w:p>
        </w:tc>
        <w:tc>
          <w:tcPr>
            <w:tcW w:w="1021" w:type="dxa"/>
          </w:tcPr>
          <w:p w14:paraId="093325F9"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5.1 </w:t>
            </w:r>
          </w:p>
        </w:tc>
        <w:tc>
          <w:tcPr>
            <w:tcW w:w="1021" w:type="dxa"/>
          </w:tcPr>
          <w:p w14:paraId="0A446AE5"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1.1 </w:t>
            </w:r>
          </w:p>
        </w:tc>
        <w:tc>
          <w:tcPr>
            <w:tcW w:w="1021" w:type="dxa"/>
          </w:tcPr>
          <w:p w14:paraId="7DC597D3"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1.5 </w:t>
            </w:r>
          </w:p>
        </w:tc>
        <w:tc>
          <w:tcPr>
            <w:tcW w:w="1021" w:type="dxa"/>
          </w:tcPr>
          <w:p w14:paraId="205E622E"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1.6 </w:t>
            </w:r>
          </w:p>
        </w:tc>
      </w:tr>
      <w:tr w:rsidR="00A9058B" w14:paraId="4A89F9C1" w14:textId="77777777" w:rsidTr="00250EED">
        <w:trPr>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1276133F" w14:textId="77777777" w:rsidR="00A9058B" w:rsidRDefault="00DD71EF" w:rsidP="0004186D">
            <w:pPr>
              <w:pStyle w:val="BodytextRegular"/>
              <w:spacing w:before="0" w:after="0"/>
            </w:pPr>
            <w:r>
              <w:t xml:space="preserve">Fund I </w:t>
            </w:r>
            <w:proofErr w:type="spellStart"/>
            <w:r>
              <w:t>Acc</w:t>
            </w:r>
            <w:proofErr w:type="spellEnd"/>
            <w:r>
              <w:t xml:space="preserve"> EUR </w:t>
            </w:r>
          </w:p>
        </w:tc>
        <w:tc>
          <w:tcPr>
            <w:tcW w:w="1021" w:type="dxa"/>
          </w:tcPr>
          <w:p w14:paraId="56CD1EB1"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-0.4</w:t>
            </w:r>
          </w:p>
        </w:tc>
        <w:tc>
          <w:tcPr>
            <w:tcW w:w="1021" w:type="dxa"/>
          </w:tcPr>
          <w:p w14:paraId="161F5F18"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0.9</w:t>
            </w:r>
          </w:p>
        </w:tc>
        <w:tc>
          <w:tcPr>
            <w:tcW w:w="1021" w:type="dxa"/>
          </w:tcPr>
          <w:p w14:paraId="4C8FD9AF"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1.3</w:t>
            </w:r>
          </w:p>
        </w:tc>
        <w:tc>
          <w:tcPr>
            <w:tcW w:w="1021" w:type="dxa"/>
          </w:tcPr>
          <w:p w14:paraId="459EF0BB"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2.8</w:t>
            </w:r>
          </w:p>
        </w:tc>
        <w:tc>
          <w:tcPr>
            <w:tcW w:w="1021" w:type="dxa"/>
          </w:tcPr>
          <w:p w14:paraId="7D860DD2"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6.6</w:t>
            </w:r>
          </w:p>
        </w:tc>
        <w:tc>
          <w:tcPr>
            <w:tcW w:w="1021" w:type="dxa"/>
          </w:tcPr>
          <w:p w14:paraId="1ACD33F7"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2.5</w:t>
            </w:r>
          </w:p>
        </w:tc>
        <w:tc>
          <w:tcPr>
            <w:tcW w:w="1021" w:type="dxa"/>
          </w:tcPr>
          <w:p w14:paraId="4D4F5C2D"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3.0</w:t>
            </w:r>
          </w:p>
        </w:tc>
        <w:tc>
          <w:tcPr>
            <w:tcW w:w="1021" w:type="dxa"/>
          </w:tcPr>
          <w:p w14:paraId="78901531"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3.1</w:t>
            </w:r>
          </w:p>
        </w:tc>
      </w:tr>
      <w:tr w:rsidR="00A9058B" w14:paraId="397BE2D6"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A3F2BD2" w14:textId="77777777" w:rsidR="002947AF" w:rsidRPr="002947AF" w:rsidRDefault="00B83F85" w:rsidP="0004186D">
            <w:pPr>
              <w:pStyle w:val="BodytextRegular"/>
              <w:spacing w:before="0" w:after="0"/>
              <w:rPr>
                <w:sz w:val="19"/>
                <w:szCs w:val="22"/>
                <w:vertAlign w:val="superscript"/>
              </w:rPr>
            </w:pPr>
            <w:bookmarkStart w:id="3" w:name="_Hlk214628051"/>
            <w:r>
              <w:rPr>
                <w:szCs w:val="18"/>
              </w:rPr>
              <w:t>Benchmark</w:t>
            </w:r>
            <w:r w:rsidR="002947AF" w:rsidRPr="00B51BAC">
              <w:rPr>
                <w:szCs w:val="18"/>
                <w:vertAlign w:val="superscript"/>
              </w:rPr>
              <w:t>1</w:t>
            </w:r>
            <w:bookmarkEnd w:id="3"/>
          </w:p>
        </w:tc>
        <w:tc>
          <w:tcPr>
            <w:tcW w:w="1021" w:type="dxa"/>
          </w:tcPr>
          <w:p w14:paraId="5480CE6F"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-0.4</w:t>
            </w:r>
          </w:p>
        </w:tc>
        <w:tc>
          <w:tcPr>
            <w:tcW w:w="1021" w:type="dxa"/>
          </w:tcPr>
          <w:p w14:paraId="6C7C6C89"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0.6</w:t>
            </w:r>
          </w:p>
        </w:tc>
        <w:tc>
          <w:tcPr>
            <w:tcW w:w="1021" w:type="dxa"/>
          </w:tcPr>
          <w:p w14:paraId="7C5CB967"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0.6</w:t>
            </w:r>
          </w:p>
        </w:tc>
        <w:tc>
          <w:tcPr>
            <w:tcW w:w="1021" w:type="dxa"/>
          </w:tcPr>
          <w:p w14:paraId="0C41AB84"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1.5</w:t>
            </w:r>
          </w:p>
        </w:tc>
        <w:tc>
          <w:tcPr>
            <w:tcW w:w="1021" w:type="dxa"/>
          </w:tcPr>
          <w:p w14:paraId="4E5DAD9C"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4.7</w:t>
            </w:r>
          </w:p>
        </w:tc>
        <w:tc>
          <w:tcPr>
            <w:tcW w:w="1021" w:type="dxa"/>
          </w:tcPr>
          <w:p w14:paraId="7ADA1E86"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3.2</w:t>
            </w:r>
          </w:p>
        </w:tc>
        <w:tc>
          <w:tcPr>
            <w:tcW w:w="1021" w:type="dxa"/>
          </w:tcPr>
          <w:p w14:paraId="1CD1E741"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1.4</w:t>
            </w:r>
          </w:p>
        </w:tc>
        <w:tc>
          <w:tcPr>
            <w:tcW w:w="1021" w:type="dxa"/>
          </w:tcPr>
          <w:p w14:paraId="3BA163BB"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1.3</w:t>
            </w:r>
          </w:p>
        </w:tc>
      </w:tr>
    </w:tbl>
    <w:p w14:paraId="60BA06C7" w14:textId="77777777" w:rsidR="002E1BEB" w:rsidRDefault="002E1BEB" w:rsidP="0004186D">
      <w:pPr>
        <w:pStyle w:val="Sourcetext"/>
        <w:spacing w:before="0" w:line="240" w:lineRule="auto"/>
        <w:rPr>
          <w:bCs/>
          <w:szCs w:val="18"/>
        </w:rPr>
      </w:pPr>
    </w:p>
    <w:p w14:paraId="5BA2F4BB" w14:textId="77777777" w:rsidR="00FC602F" w:rsidRPr="00EB5C01" w:rsidRDefault="00FD4B8C" w:rsidP="00407D1A">
      <w:pPr>
        <w:pStyle w:val="Sourcetext"/>
        <w:spacing w:before="0" w:after="120" w:line="240" w:lineRule="auto"/>
        <w:rPr>
          <w:b/>
          <w:bCs/>
          <w:sz w:val="19"/>
          <w:szCs w:val="22"/>
        </w:rPr>
      </w:pPr>
      <w:bookmarkStart w:id="4" w:name="_Hlk208598477"/>
      <w:r w:rsidRPr="009D5084">
        <w:rPr>
          <w:szCs w:val="16"/>
        </w:rPr>
        <w:t>Source: Schroders, Morningstar, as of 31 July 2026. Performance shown is based on the currency of the share class shown and is net of fees.</w:t>
      </w:r>
      <w:r w:rsidRPr="00D82A07">
        <w:rPr>
          <w:szCs w:val="16"/>
        </w:rPr>
        <w:t xml:space="preserve"> </w:t>
      </w:r>
      <w:r w:rsidRPr="009D5084">
        <w:rPr>
          <w:szCs w:val="16"/>
        </w:rPr>
        <w:t xml:space="preserve">A </w:t>
      </w:r>
      <w:proofErr w:type="spellStart"/>
      <w:r w:rsidRPr="009D5084">
        <w:rPr>
          <w:szCs w:val="16"/>
        </w:rPr>
        <w:t>Acc</w:t>
      </w:r>
      <w:proofErr w:type="spellEnd"/>
      <w:r w:rsidRPr="009D5084">
        <w:rPr>
          <w:szCs w:val="16"/>
        </w:rPr>
        <w:t xml:space="preserve"> Share class (LU1293074719) inception on 11 November 2015; I </w:t>
      </w:r>
      <w:proofErr w:type="spellStart"/>
      <w:r w:rsidRPr="009D5084">
        <w:rPr>
          <w:szCs w:val="16"/>
        </w:rPr>
        <w:t>Acc</w:t>
      </w:r>
      <w:proofErr w:type="spellEnd"/>
      <w:r w:rsidRPr="009D5084">
        <w:rPr>
          <w:szCs w:val="16"/>
        </w:rPr>
        <w:t xml:space="preserve"> Share class (LU1293074982) inception on 11 November 2015. Please see factsheet for other share classes. The value of investments and the income from them may go down as well as up and investors may not get back the amount originally invested</w:t>
      </w:r>
      <w:r w:rsidRPr="001D3525">
        <w:rPr>
          <w:szCs w:val="16"/>
        </w:rPr>
        <w:t>.</w:t>
      </w:r>
      <w:r w:rsidRPr="009D5084">
        <w:rPr>
          <w:bCs/>
          <w:szCs w:val="16"/>
        </w:rPr>
        <w:t xml:space="preserve"> </w:t>
      </w:r>
      <w:r w:rsidRPr="009D5084">
        <w:rPr>
          <w:b/>
          <w:bCs/>
          <w:szCs w:val="16"/>
        </w:rPr>
        <w:t>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D3525">
        <w:rPr>
          <w:szCs w:val="16"/>
        </w:rPr>
        <w:t>e</w:t>
      </w:r>
      <w:r w:rsidRPr="002061AF">
        <w:rPr>
          <w:szCs w:val="16"/>
        </w:rPr>
        <w:t>d</w:t>
      </w:r>
      <w:r w:rsidRPr="00826685">
        <w:rPr>
          <w:bCs/>
          <w:szCs w:val="16"/>
        </w:rPr>
        <w:t>.</w:t>
      </w:r>
      <w:bookmarkEnd w:id="4"/>
      <w:r w:rsidR="00856C33" w:rsidRPr="00EB5C01">
        <w:rPr>
          <w:b/>
          <w:bCs/>
        </w:rPr>
        <w:t xml:space="preserve"> </w:t>
      </w:r>
    </w:p>
    <w:p w14:paraId="15938E1E" w14:textId="77777777" w:rsidR="00EB2CB4" w:rsidRPr="00DE5CAE" w:rsidRDefault="00EB2CB4" w:rsidP="00DE5CAE">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1-5 Year BBB EURO Corporate Index.</w:t>
      </w:r>
    </w:p>
    <w:p w14:paraId="58BFC2C1" w14:textId="77777777" w:rsidR="002C423C" w:rsidRPr="00A23F93" w:rsidRDefault="002C423C" w:rsidP="007B5A24">
      <w:pPr>
        <w:pStyle w:val="Paragraphheaderprussiannavy"/>
        <w:tabs>
          <w:tab w:val="right" w:pos="10204"/>
        </w:tabs>
      </w:pPr>
      <w:r w:rsidRPr="00A23F93">
        <w:t xml:space="preserve">Investment </w:t>
      </w:r>
      <w:r w:rsidR="004E720C">
        <w:t>Policy</w:t>
      </w:r>
    </w:p>
    <w:p w14:paraId="4F9F463F" w14:textId="77777777" w:rsidR="008C1D82" w:rsidRPr="00E70499" w:rsidRDefault="00FD5917" w:rsidP="007B5A24">
      <w:pPr>
        <w:pStyle w:val="BodytextRegular"/>
      </w:pPr>
      <w:r>
        <w:t>The fund is actively managed and invests at least two-thirds of its assets, long (directly or indirectly through derivatives) or short (through derivatives), in bonds denominated in Euro issued by governments, government agencies, supra-nationals and companies worldwide.</w:t>
      </w:r>
      <w:r w:rsidR="00073A5C">
        <w:t xml:space="preserve"> </w:t>
      </w:r>
    </w:p>
    <w:p w14:paraId="2C56BA73" w14:textId="77777777" w:rsidR="00626DB0" w:rsidRPr="00753011" w:rsidRDefault="002C423C" w:rsidP="007B5A24">
      <w:pPr>
        <w:pStyle w:val="Paragraphheaderprussiannavy"/>
        <w:tabs>
          <w:tab w:val="right" w:pos="10204"/>
        </w:tabs>
      </w:pPr>
      <w:r w:rsidRPr="00753011">
        <w:t xml:space="preserve">Risk </w:t>
      </w:r>
      <w:r w:rsidR="001D2095">
        <w:t>C</w:t>
      </w:r>
      <w:r w:rsidRPr="00753011">
        <w:t>onsiderations</w:t>
      </w:r>
    </w:p>
    <w:p w14:paraId="163BA645" w14:textId="77777777" w:rsidR="00794888" w:rsidRPr="00970DD6" w:rsidRDefault="00794888" w:rsidP="007B5A24">
      <w:pPr>
        <w:pStyle w:val="BodyText"/>
        <w:ind w:right="-1"/>
        <w:rPr>
          <w:b/>
          <w:bCs/>
          <w:sz w:val="18"/>
          <w:szCs w:val="18"/>
        </w:rPr>
      </w:pPr>
      <w:r w:rsidRPr="00970DD6">
        <w:rPr>
          <w:b/>
          <w:bCs/>
          <w:sz w:val="18"/>
          <w:szCs w:val="18"/>
        </w:rPr>
        <w:t>ABS and MBS risk:</w:t>
      </w:r>
      <w:r w:rsidRPr="00970DD6">
        <w:rPr>
          <w:sz w:val="18"/>
          <w:szCs w:val="18"/>
        </w:rPr>
        <w:t xml:space="preserve"> The fund may invest in mortgage or asset-backed securities. The underlying borrowers of these securities may not be able to pay back the full amount that they owe, which may result in losses to the fund.</w:t>
      </w:r>
    </w:p>
    <w:p w14:paraId="09666C67" w14:textId="77777777" w:rsidR="00794888" w:rsidRPr="00970DD6" w:rsidRDefault="00794888" w:rsidP="007B5A24">
      <w:pPr>
        <w:pStyle w:val="BodyText"/>
        <w:ind w:right="-1"/>
        <w:rPr>
          <w:b/>
          <w:bCs/>
          <w:sz w:val="18"/>
          <w:szCs w:val="18"/>
        </w:rPr>
      </w:pPr>
      <w:r w:rsidRPr="00970DD6">
        <w:rPr>
          <w:b/>
          <w:bCs/>
          <w:sz w:val="18"/>
          <w:szCs w:val="18"/>
        </w:rPr>
        <w:t>Capital risk / distribution policy:</w:t>
      </w:r>
      <w:r w:rsidRPr="00970DD6">
        <w:rPr>
          <w:sz w:val="18"/>
          <w:szCs w:val="18"/>
        </w:rPr>
        <w:t xml:space="preserve"> As the fund intends to pay dividends regardless of its performance, a dividend may represent a return of part of the amount you invested.</w:t>
      </w:r>
    </w:p>
    <w:p w14:paraId="39595BE6" w14:textId="77777777" w:rsidR="00794888" w:rsidRPr="00970DD6" w:rsidRDefault="00794888" w:rsidP="007B5A24">
      <w:pPr>
        <w:pStyle w:val="BodyText"/>
        <w:ind w:right="-1"/>
        <w:rPr>
          <w:b/>
          <w:bCs/>
          <w:sz w:val="18"/>
          <w:szCs w:val="18"/>
        </w:rPr>
      </w:pPr>
      <w:r w:rsidRPr="00970DD6">
        <w:rPr>
          <w:b/>
          <w:bCs/>
          <w:sz w:val="18"/>
          <w:szCs w:val="18"/>
        </w:rPr>
        <w:t>Contingent convertible bonds:</w:t>
      </w:r>
      <w:r w:rsidRPr="00970DD6">
        <w:rPr>
          <w:sz w:val="18"/>
          <w:szCs w:val="18"/>
        </w:rPr>
        <w:t xml:space="preserve"> The fund may invest in contingent convertible bonds which are bonds that convert to shares if the bond issuer's financial health deteriorates. A reduction in the financial strength of the issuer may result in losses to the fund.</w:t>
      </w:r>
    </w:p>
    <w:p w14:paraId="34274E0A" w14:textId="77777777" w:rsidR="00794888" w:rsidRPr="00970DD6" w:rsidRDefault="00794888" w:rsidP="007B5A24">
      <w:pPr>
        <w:pStyle w:val="BodyText"/>
        <w:ind w:right="-1"/>
        <w:rPr>
          <w:b/>
          <w:bCs/>
          <w:sz w:val="18"/>
          <w:szCs w:val="18"/>
        </w:rPr>
      </w:pPr>
      <w:r w:rsidRPr="00970DD6">
        <w:rPr>
          <w:b/>
          <w:bCs/>
          <w:sz w:val="18"/>
          <w:szCs w:val="18"/>
        </w:rPr>
        <w:t>Counterparty risk:</w:t>
      </w:r>
      <w:r w:rsidRPr="00970DD6">
        <w:rPr>
          <w:sz w:val="18"/>
          <w:szCs w:val="18"/>
        </w:rPr>
        <w:t xml:space="preserve"> The fund may have contractual agreements with counterparties. If a counterparty is unable to fulfil their obligations, the sum that they owe to the fund may be lost in part or in whole.</w:t>
      </w:r>
    </w:p>
    <w:p w14:paraId="62E9940C" w14:textId="77777777" w:rsidR="00794888" w:rsidRPr="00970DD6" w:rsidRDefault="00794888" w:rsidP="007B5A24">
      <w:pPr>
        <w:pStyle w:val="BodyText"/>
        <w:ind w:right="-1"/>
        <w:rPr>
          <w:b/>
          <w:bCs/>
          <w:sz w:val="18"/>
          <w:szCs w:val="18"/>
        </w:rPr>
      </w:pPr>
      <w:r w:rsidRPr="00970DD6">
        <w:rPr>
          <w:b/>
          <w:bCs/>
          <w:sz w:val="18"/>
          <w:szCs w:val="18"/>
        </w:rPr>
        <w:t>Credit risk:</w:t>
      </w:r>
      <w:r w:rsidRPr="00970DD6">
        <w:rPr>
          <w:sz w:val="18"/>
          <w:szCs w:val="18"/>
        </w:rPr>
        <w:t xml:space="preserve"> If a borrower of debt provided by the fund or a bond issuer experiences a decline in financial health, their ability to make payments of interest and principal may be affected, which may cause a decline in the value of the fund.</w:t>
      </w:r>
    </w:p>
    <w:p w14:paraId="35E175F7" w14:textId="77777777" w:rsidR="00794888" w:rsidRPr="00970DD6" w:rsidRDefault="00794888" w:rsidP="007B5A24">
      <w:pPr>
        <w:pStyle w:val="BodyText"/>
        <w:ind w:right="-1"/>
        <w:rPr>
          <w:b/>
          <w:bCs/>
          <w:sz w:val="18"/>
          <w:szCs w:val="18"/>
        </w:rPr>
      </w:pPr>
      <w:r w:rsidRPr="00970DD6">
        <w:rPr>
          <w:b/>
          <w:bCs/>
          <w:sz w:val="18"/>
          <w:szCs w:val="18"/>
        </w:rPr>
        <w:t>Currency risk:</w:t>
      </w:r>
      <w:r w:rsidRPr="00970DD6">
        <w:rPr>
          <w:sz w:val="18"/>
          <w:szCs w:val="18"/>
        </w:rPr>
        <w:t xml:space="preserve"> If the fund’s investments are denominated in currencies different to the fund’s base currency, the fund may lose value </w:t>
      </w:r>
      <w:proofErr w:type="gramStart"/>
      <w:r w:rsidRPr="00970DD6">
        <w:rPr>
          <w:sz w:val="18"/>
          <w:szCs w:val="18"/>
        </w:rPr>
        <w:t>as a result of</w:t>
      </w:r>
      <w:proofErr w:type="gramEnd"/>
      <w:r w:rsidRPr="00970DD6">
        <w:rPr>
          <w:sz w:val="18"/>
          <w:szCs w:val="18"/>
        </w:rPr>
        <w:t xml:space="preserve"> movements in foreign exchange rates, otherwise known as currency rates. If the investor holds a share class in a different currency to the base currency of the fund, investors may be exposed to losses </w:t>
      </w:r>
      <w:proofErr w:type="gramStart"/>
      <w:r w:rsidRPr="00970DD6">
        <w:rPr>
          <w:sz w:val="18"/>
          <w:szCs w:val="18"/>
        </w:rPr>
        <w:t>as a result of</w:t>
      </w:r>
      <w:proofErr w:type="gramEnd"/>
      <w:r w:rsidRPr="00970DD6">
        <w:rPr>
          <w:sz w:val="18"/>
          <w:szCs w:val="18"/>
        </w:rPr>
        <w:t xml:space="preserve"> movements in currency rates.</w:t>
      </w:r>
    </w:p>
    <w:p w14:paraId="257743E6" w14:textId="77777777" w:rsidR="00794888" w:rsidRPr="00970DD6" w:rsidRDefault="00794888" w:rsidP="007B5A24">
      <w:pPr>
        <w:pStyle w:val="BodyText"/>
        <w:ind w:right="-1"/>
        <w:rPr>
          <w:b/>
          <w:bCs/>
          <w:sz w:val="18"/>
          <w:szCs w:val="18"/>
        </w:rPr>
      </w:pPr>
      <w:r w:rsidRPr="00970DD6">
        <w:rPr>
          <w:b/>
          <w:bCs/>
          <w:sz w:val="18"/>
          <w:szCs w:val="18"/>
        </w:rPr>
        <w:lastRenderedPageBreak/>
        <w:t>Currency risk / hedged share class:</w:t>
      </w:r>
      <w:r w:rsidRPr="00970DD6">
        <w:rPr>
          <w:sz w:val="18"/>
          <w:szCs w:val="18"/>
        </w:rPr>
        <w:t xml:space="preserve"> The currency hedging of the share class may not be fully effective and residual currency exposure may remain. The cost associated with hedging may impact performance and potential gains may be more limited than for unhedged share classes.</w:t>
      </w:r>
    </w:p>
    <w:p w14:paraId="6B7486C0" w14:textId="77777777" w:rsidR="00794888" w:rsidRPr="00970DD6" w:rsidRDefault="00794888" w:rsidP="007B5A24">
      <w:pPr>
        <w:pStyle w:val="BodyText"/>
        <w:ind w:right="-1"/>
        <w:rPr>
          <w:b/>
          <w:bCs/>
          <w:sz w:val="18"/>
          <w:szCs w:val="18"/>
        </w:rPr>
      </w:pPr>
      <w:r w:rsidRPr="00970DD6">
        <w:rPr>
          <w:b/>
          <w:bCs/>
          <w:sz w:val="18"/>
          <w:szCs w:val="18"/>
        </w:rPr>
        <w:t>Derivatives risk:</w:t>
      </w:r>
      <w:r w:rsidRPr="00970DD6">
        <w:rPr>
          <w:sz w:val="18"/>
          <w:szCs w:val="18"/>
        </w:rPr>
        <w:t xml:space="preserve"> Derivatives, which are financial instruments deriving their value from an underlying asset, may be used for investment purposes and/ or to manage the portfolio efficiently. A derivative may not perform as expected, may create losses greater than the cost of the derivative and may result in losses to the fund.</w:t>
      </w:r>
    </w:p>
    <w:p w14:paraId="7062566E" w14:textId="77777777" w:rsidR="00794888" w:rsidRPr="00970DD6" w:rsidRDefault="00794888" w:rsidP="007B5A24">
      <w:pPr>
        <w:pStyle w:val="BodyText"/>
        <w:ind w:right="-1"/>
        <w:rPr>
          <w:b/>
          <w:bCs/>
          <w:sz w:val="18"/>
          <w:szCs w:val="18"/>
        </w:rPr>
      </w:pPr>
      <w:r w:rsidRPr="00970DD6">
        <w:rPr>
          <w:b/>
          <w:bCs/>
          <w:sz w:val="18"/>
          <w:szCs w:val="18"/>
        </w:rPr>
        <w:t>Emerging markets &amp; frontier risk:</w:t>
      </w:r>
      <w:r w:rsidRPr="00970DD6">
        <w:rPr>
          <w:sz w:val="18"/>
          <w:szCs w:val="18"/>
        </w:rPr>
        <w:t xml:space="preserve"> Emerging markets, and especially frontier markets, generally carry greater political, legal, counterparty, operational and liquidity risk than developed markets.</w:t>
      </w:r>
    </w:p>
    <w:p w14:paraId="079A9C58" w14:textId="77777777" w:rsidR="00794888" w:rsidRPr="00970DD6" w:rsidRDefault="00794888" w:rsidP="007B5A24">
      <w:pPr>
        <w:pStyle w:val="BodyText"/>
        <w:ind w:right="-1"/>
        <w:rPr>
          <w:b/>
          <w:bCs/>
          <w:sz w:val="18"/>
          <w:szCs w:val="18"/>
        </w:rPr>
      </w:pPr>
      <w:r w:rsidRPr="00970DD6">
        <w:rPr>
          <w:b/>
          <w:bCs/>
          <w:sz w:val="18"/>
          <w:szCs w:val="18"/>
        </w:rPr>
        <w:t>High yield bond risk:</w:t>
      </w:r>
      <w:r w:rsidRPr="00970DD6">
        <w:rPr>
          <w:sz w:val="18"/>
          <w:szCs w:val="18"/>
        </w:rPr>
        <w:t xml:space="preserve"> High yield bonds (normally lower rated or unrated) generally carry greater market, credit and liquidity risk meaning greater uncertainty of returns.</w:t>
      </w:r>
    </w:p>
    <w:p w14:paraId="516CA27A" w14:textId="77777777" w:rsidR="00794888" w:rsidRPr="00970DD6" w:rsidRDefault="00794888" w:rsidP="007B5A24">
      <w:pPr>
        <w:pStyle w:val="BodyText"/>
        <w:ind w:right="-1"/>
        <w:rPr>
          <w:b/>
          <w:bCs/>
          <w:sz w:val="18"/>
          <w:szCs w:val="18"/>
        </w:rPr>
      </w:pPr>
      <w:r w:rsidRPr="00970DD6">
        <w:rPr>
          <w:b/>
          <w:bCs/>
          <w:sz w:val="18"/>
          <w:szCs w:val="18"/>
        </w:rPr>
        <w:t>Interest rate risk:</w:t>
      </w:r>
      <w:r w:rsidRPr="00970DD6">
        <w:rPr>
          <w:sz w:val="18"/>
          <w:szCs w:val="18"/>
        </w:rPr>
        <w:t xml:space="preserve"> The fund may lose value as a direct result of interest rate changes.</w:t>
      </w:r>
    </w:p>
    <w:p w14:paraId="4FA1F93D" w14:textId="77777777" w:rsidR="00794888" w:rsidRPr="00970DD6" w:rsidRDefault="00794888" w:rsidP="007B5A24">
      <w:pPr>
        <w:pStyle w:val="BodyText"/>
        <w:ind w:right="-1"/>
        <w:rPr>
          <w:b/>
          <w:bCs/>
          <w:sz w:val="18"/>
          <w:szCs w:val="18"/>
        </w:rPr>
      </w:pPr>
      <w:r w:rsidRPr="00970DD6">
        <w:rPr>
          <w:b/>
          <w:bCs/>
          <w:sz w:val="18"/>
          <w:szCs w:val="18"/>
        </w:rPr>
        <w:t>Liquidity risk:</w:t>
      </w:r>
      <w:r w:rsidRPr="00970DD6">
        <w:rPr>
          <w:sz w:val="18"/>
          <w:szCs w:val="18"/>
        </w:rPr>
        <w:t xml:space="preserve"> In difficult market conditions, the fund may not be able to sell a security for full value or at all. This could affect performance and could cause the fund to defer or suspend redemptions of its shares, meaning investors may not be able to have immediate access to their holdings.</w:t>
      </w:r>
    </w:p>
    <w:p w14:paraId="13E3679D" w14:textId="77777777" w:rsidR="00794888" w:rsidRPr="00970DD6" w:rsidRDefault="00794888" w:rsidP="007B5A24">
      <w:pPr>
        <w:pStyle w:val="BodyText"/>
        <w:ind w:right="-1"/>
        <w:rPr>
          <w:b/>
          <w:bCs/>
          <w:sz w:val="18"/>
          <w:szCs w:val="18"/>
        </w:rPr>
      </w:pPr>
      <w:r w:rsidRPr="00970DD6">
        <w:rPr>
          <w:b/>
          <w:bCs/>
          <w:sz w:val="18"/>
          <w:szCs w:val="18"/>
        </w:rPr>
        <w:t>Market risk:</w:t>
      </w:r>
      <w:r w:rsidRPr="00970DD6">
        <w:rPr>
          <w:sz w:val="18"/>
          <w:szCs w:val="18"/>
        </w:rPr>
        <w:t xml:space="preserve"> The value of investments can go up and down and an investor may not get back the amount initially invested.</w:t>
      </w:r>
    </w:p>
    <w:p w14:paraId="160AAC55" w14:textId="77777777" w:rsidR="00794888" w:rsidRPr="00970DD6" w:rsidRDefault="00794888" w:rsidP="007B5A24">
      <w:pPr>
        <w:pStyle w:val="BodyText"/>
        <w:ind w:right="-1"/>
        <w:rPr>
          <w:b/>
          <w:bCs/>
          <w:sz w:val="18"/>
          <w:szCs w:val="18"/>
        </w:rPr>
      </w:pPr>
      <w:r w:rsidRPr="00970DD6">
        <w:rPr>
          <w:b/>
          <w:bCs/>
          <w:sz w:val="18"/>
          <w:szCs w:val="18"/>
        </w:rPr>
        <w:t>Operational risk:</w:t>
      </w:r>
      <w:r w:rsidRPr="00970DD6">
        <w:rPr>
          <w:sz w:val="18"/>
          <w:szCs w:val="18"/>
        </w:rPr>
        <w:t xml:space="preserve"> Operational processes, including those related to the safekeeping of assets, may fail.  This may result in losses to the fund.</w:t>
      </w:r>
    </w:p>
    <w:p w14:paraId="3281F87F" w14:textId="77777777" w:rsidR="00794888" w:rsidRPr="00970DD6" w:rsidRDefault="00794888" w:rsidP="007B5A24">
      <w:pPr>
        <w:pStyle w:val="BodyText"/>
        <w:ind w:right="-1"/>
        <w:rPr>
          <w:b/>
          <w:bCs/>
          <w:sz w:val="18"/>
          <w:szCs w:val="18"/>
        </w:rPr>
      </w:pPr>
      <w:r w:rsidRPr="00970DD6">
        <w:rPr>
          <w:b/>
          <w:bCs/>
          <w:sz w:val="18"/>
          <w:szCs w:val="18"/>
        </w:rPr>
        <w:t>Performance risk:</w:t>
      </w:r>
      <w:r w:rsidRPr="00970DD6">
        <w:rPr>
          <w:sz w:val="18"/>
          <w:szCs w:val="18"/>
        </w:rPr>
        <w:t xml:space="preserve"> Investment objectives express an intended result but there is no guarantee that such a result will be achieved. Depending on market conditions and the </w:t>
      </w:r>
      <w:proofErr w:type="spellStart"/>
      <w:r w:rsidRPr="00970DD6">
        <w:rPr>
          <w:sz w:val="18"/>
          <w:szCs w:val="18"/>
        </w:rPr>
        <w:t>macro economic</w:t>
      </w:r>
      <w:proofErr w:type="spellEnd"/>
      <w:r w:rsidRPr="00970DD6">
        <w:rPr>
          <w:sz w:val="18"/>
          <w:szCs w:val="18"/>
        </w:rPr>
        <w:t xml:space="preserve"> environment, investment objectives may become more difficult to achieve.</w:t>
      </w:r>
    </w:p>
    <w:p w14:paraId="3F26DBC8" w14:textId="77777777" w:rsidR="00794888" w:rsidRPr="00970DD6" w:rsidRDefault="00794888" w:rsidP="007B5A24">
      <w:pPr>
        <w:pStyle w:val="BodyText"/>
        <w:ind w:right="-1"/>
        <w:rPr>
          <w:b/>
          <w:bCs/>
          <w:sz w:val="18"/>
          <w:szCs w:val="18"/>
        </w:rPr>
      </w:pPr>
      <w:r w:rsidRPr="00970DD6">
        <w:rPr>
          <w:b/>
          <w:bCs/>
          <w:sz w:val="18"/>
          <w:szCs w:val="18"/>
        </w:rPr>
        <w:t>Sustainability risk:</w:t>
      </w:r>
      <w:r w:rsidRPr="00970DD6">
        <w:rPr>
          <w:sz w:val="18"/>
          <w:szCs w:val="18"/>
        </w:rPr>
        <w:t xml:space="preserve"> The fund has environmental and/or social characteristics. This means it may have limited exposure to some companies, industries or sectors and may forego certain investment opportunities, or dispose of certain holdings, that do not align with its sustainability criteria chosen by the investment manager. The fund may invest in companies that do not reflect the beliefs and values of any </w:t>
      </w:r>
      <w:proofErr w:type="gramStart"/>
      <w:r w:rsidRPr="00970DD6">
        <w:rPr>
          <w:sz w:val="18"/>
          <w:szCs w:val="18"/>
        </w:rPr>
        <w:t>particular investor</w:t>
      </w:r>
      <w:proofErr w:type="gramEnd"/>
      <w:r w:rsidRPr="00970DD6">
        <w:rPr>
          <w:sz w:val="18"/>
          <w:szCs w:val="18"/>
        </w:rPr>
        <w:t>.</w:t>
      </w:r>
    </w:p>
    <w:p w14:paraId="50CA519C" w14:textId="77777777" w:rsidR="003911E6" w:rsidRPr="00310254" w:rsidRDefault="003911E6" w:rsidP="00310254">
      <w:pPr>
        <w:pStyle w:val="BodyText"/>
        <w:spacing w:before="240"/>
        <w:rPr>
          <w:rFonts w:eastAsia="Times New Roman" w:cs="Arial"/>
          <w:sz w:val="16"/>
          <w:szCs w:val="16"/>
        </w:rPr>
      </w:pPr>
      <w:r>
        <w:br w:type="page"/>
      </w:r>
      <w:r w:rsidR="00310254" w:rsidRPr="00310254">
        <w:rPr>
          <w:b/>
          <w:bCs/>
          <w:sz w:val="16"/>
          <w:szCs w:val="16"/>
        </w:rPr>
        <w:lastRenderedPageBreak/>
        <w:t>A</w:t>
      </w:r>
      <w:r w:rsidRPr="00310254">
        <w:rPr>
          <w:b/>
          <w:bCs/>
          <w:sz w:val="16"/>
          <w:szCs w:val="16"/>
        </w:rPr>
        <w:t>dditional Disclosures</w:t>
      </w:r>
    </w:p>
    <w:p w14:paraId="7CA9B239" w14:textId="77777777" w:rsidR="00FE3D18" w:rsidRPr="00FE3D18" w:rsidRDefault="00FE3D18" w:rsidP="00FE3D18">
      <w:pPr>
        <w:pStyle w:val="Disclaimertext"/>
        <w:spacing w:after="120"/>
        <w:rPr>
          <w:i/>
          <w:iCs/>
          <w:szCs w:val="16"/>
        </w:rPr>
      </w:pPr>
      <w:r w:rsidRPr="00FE3D18">
        <w:rPr>
          <w:i/>
          <w:iCs/>
          <w:szCs w:val="16"/>
        </w:rPr>
        <w:t xml:space="preserve">The disclosures below cover Schroders' proprietary sustainability tools, third-party index and data providers, and related EU regulatory requirements. Each disclosure applies only to the extent that the relevant tool output, index, data, ESG rating or content </w:t>
      </w:r>
      <w:proofErr w:type="gramStart"/>
      <w:r w:rsidRPr="00FE3D18">
        <w:rPr>
          <w:i/>
          <w:iCs/>
          <w:szCs w:val="16"/>
        </w:rPr>
        <w:t>actually appears</w:t>
      </w:r>
      <w:proofErr w:type="gramEnd"/>
      <w:r w:rsidRPr="00FE3D18">
        <w:rPr>
          <w:i/>
          <w:iCs/>
          <w:szCs w:val="16"/>
        </w:rPr>
        <w:t xml:space="preserve"> in this material. Their inclusion is not intended as, and should not be read as, a sustainability-related claim or an indication that any </w:t>
      </w:r>
      <w:proofErr w:type="gramStart"/>
      <w:r w:rsidRPr="00FE3D18">
        <w:rPr>
          <w:i/>
          <w:iCs/>
          <w:szCs w:val="16"/>
        </w:rPr>
        <w:t>particular index</w:t>
      </w:r>
      <w:proofErr w:type="gramEnd"/>
      <w:r w:rsidRPr="00FE3D18">
        <w:rPr>
          <w:i/>
          <w:iCs/>
          <w:szCs w:val="16"/>
        </w:rPr>
        <w:t xml:space="preserve"> or data source has been used</w:t>
      </w:r>
    </w:p>
    <w:p w14:paraId="15272BC5" w14:textId="77777777" w:rsidR="00FE3D18" w:rsidRPr="00EB7D56" w:rsidRDefault="00FE3D18" w:rsidP="00FE3D18">
      <w:pPr>
        <w:pStyle w:val="Disclaimertext"/>
        <w:spacing w:after="120"/>
        <w:rPr>
          <w:szCs w:val="16"/>
        </w:rPr>
      </w:pPr>
      <w:r w:rsidRPr="00EB7D56">
        <w:rPr>
          <w:szCs w:val="16"/>
        </w:rPr>
        <w:t xml:space="preserve">For EU/EEA readers: any ESG ratings within the meaning of Regulation (EU) 2024/3005 contained herein are issued by Schroder Investment Management (Europe) </w:t>
      </w:r>
      <w:r w:rsidR="00F36C6E" w:rsidRPr="00F36C6E">
        <w:rPr>
          <w:szCs w:val="16"/>
        </w:rPr>
        <w:t xml:space="preserve">S.A., 5, </w:t>
      </w:r>
      <w:proofErr w:type="spellStart"/>
      <w:r w:rsidR="00F36C6E" w:rsidRPr="00F36C6E">
        <w:rPr>
          <w:szCs w:val="16"/>
        </w:rPr>
        <w:t>Heienhaff</w:t>
      </w:r>
      <w:proofErr w:type="spellEnd"/>
      <w:r w:rsidR="00F36C6E" w:rsidRPr="00F36C6E">
        <w:rPr>
          <w:szCs w:val="16"/>
        </w:rPr>
        <w:t xml:space="preserve">, L-1736 </w:t>
      </w:r>
      <w:proofErr w:type="spellStart"/>
      <w:r w:rsidR="00F36C6E" w:rsidRPr="00F36C6E">
        <w:rPr>
          <w:szCs w:val="16"/>
        </w:rPr>
        <w:t>Senningerberg</w:t>
      </w:r>
      <w:proofErr w:type="spellEnd"/>
      <w:r w:rsidR="00F36C6E" w:rsidRPr="00F36C6E">
        <w:rPr>
          <w:szCs w:val="16"/>
        </w:rPr>
        <w:t>, Luxembourg</w:t>
      </w:r>
      <w:r w:rsidRPr="00EB7D56">
        <w:rPr>
          <w:szCs w:val="16"/>
        </w:rPr>
        <w:t xml:space="preserve">. For further information, please go to </w:t>
      </w:r>
      <w:hyperlink r:id="rId9" w:history="1">
        <w:r w:rsidRPr="00EB7D56">
          <w:rPr>
            <w:rStyle w:val="Hyperlink"/>
            <w:szCs w:val="16"/>
          </w:rPr>
          <w:t>https://www.schroders.com/en/global/individual/sustainability/sustainability-policies-disclosures-and-reports/</w:t>
        </w:r>
      </w:hyperlink>
      <w:r w:rsidRPr="00EB7D56">
        <w:rPr>
          <w:szCs w:val="16"/>
        </w:rPr>
        <w:t>.</w:t>
      </w:r>
    </w:p>
    <w:p w14:paraId="1AC6F02C" w14:textId="77777777" w:rsidR="00716D6C" w:rsidRPr="00716D6C" w:rsidRDefault="00716D6C" w:rsidP="00716D6C">
      <w:pPr>
        <w:pStyle w:val="Disclaimertext"/>
        <w:spacing w:after="120"/>
        <w:rPr>
          <w:szCs w:val="16"/>
        </w:rPr>
      </w:pPr>
      <w:r w:rsidRPr="00716D6C">
        <w:rPr>
          <w:b/>
          <w:bCs/>
          <w:szCs w:val="16"/>
        </w:rPr>
        <w:t>SustainEx™</w:t>
      </w:r>
      <w:r w:rsidRPr="00716D6C">
        <w:rPr>
          <w:szCs w:val="16"/>
        </w:rPr>
        <w:t xml:space="preserve"> provides an aggregate estimate of the social and environmental costs and benefits that an issuer may create. It does this by scoring the issuer against a list of indicators – scores may be positive (for example, when an issuer pays more than average living wages) or negative (for example, when an issuer emits carbon). The result is expressed as an aggregate score of the sustainability indicators for each issuer, specifically a notional percentage (positive or negative) of sales or GDP of the relevant underlying issuer. SustainEx™ utilises and is reliant on third party data (including third party estimates) as well as Schroders’ own modelling assumptions, and the outcome may differ from other sustainability tools and measures. </w:t>
      </w:r>
    </w:p>
    <w:p w14:paraId="5CF88606" w14:textId="77777777" w:rsidR="00716D6C" w:rsidRPr="00716D6C" w:rsidRDefault="00716D6C" w:rsidP="00716D6C">
      <w:pPr>
        <w:pStyle w:val="Disclaimertext"/>
        <w:spacing w:after="120"/>
        <w:rPr>
          <w:szCs w:val="16"/>
        </w:rPr>
      </w:pPr>
      <w:r w:rsidRPr="00716D6C">
        <w:rPr>
          <w:szCs w:val="16"/>
        </w:rPr>
        <w:t xml:space="preserve">Where SustainEx™ relies on data and estimates produced by third parties, Schroders cannot and does not warrant the accuracy, completeness and adequacy of such third party data and estimates. </w:t>
      </w:r>
    </w:p>
    <w:p w14:paraId="453A7D4E" w14:textId="77777777" w:rsidR="00716D6C" w:rsidRPr="00716D6C" w:rsidRDefault="00716D6C" w:rsidP="00716D6C">
      <w:pPr>
        <w:pStyle w:val="Disclaimertext"/>
        <w:spacing w:after="120"/>
        <w:rPr>
          <w:szCs w:val="16"/>
        </w:rPr>
      </w:pPr>
      <w:r w:rsidRPr="00716D6C">
        <w:rPr>
          <w:szCs w:val="16"/>
        </w:rPr>
        <w:t xml:space="preserve">Like any model, SustainEx™ will evolve and develop over time as Schroders continues to assess, refine and add to the metrics and their relative contributions. Generating SustainEx™ scores involves an element of judgment and subjectivity across the different metrics chosen by Schroders, and accordingly Schroders does not accept any liability arising from any inaccuracy or omission in, or the use of or reliance on, SustainEx™ scores. </w:t>
      </w:r>
    </w:p>
    <w:p w14:paraId="6FE5ED1A" w14:textId="77777777" w:rsidR="00716D6C" w:rsidRPr="00716D6C" w:rsidRDefault="00716D6C" w:rsidP="00716D6C">
      <w:pPr>
        <w:pStyle w:val="Disclaimertext"/>
        <w:spacing w:after="120"/>
        <w:rPr>
          <w:szCs w:val="16"/>
        </w:rPr>
      </w:pPr>
      <w:r w:rsidRPr="00716D6C">
        <w:rPr>
          <w:szCs w:val="16"/>
        </w:rPr>
        <w:t xml:space="preserve">As the model evolves, changes made to how metrics are applied may result in changes to the SustainEx™ score of any issuer and ultimately the overall fund/portfolio score. At the same time, of course, the issuer’s SustainEx™ performance might improve or deteriorate. </w:t>
      </w:r>
    </w:p>
    <w:p w14:paraId="62C6017E" w14:textId="77777777" w:rsidR="00716D6C" w:rsidRDefault="00716D6C" w:rsidP="00716D6C">
      <w:pPr>
        <w:pStyle w:val="Disclaimertext"/>
        <w:spacing w:before="0" w:after="120" w:line="240" w:lineRule="auto"/>
        <w:rPr>
          <w:szCs w:val="16"/>
        </w:rPr>
      </w:pPr>
      <w:r w:rsidRPr="00716D6C">
        <w:rPr>
          <w:szCs w:val="16"/>
        </w:rPr>
        <w:t xml:space="preserve">Schroders’ proprietary sustainability tools including SustainEx™ may not cover </w:t>
      </w:r>
      <w:proofErr w:type="gramStart"/>
      <w:r w:rsidRPr="00716D6C">
        <w:rPr>
          <w:szCs w:val="16"/>
        </w:rPr>
        <w:t>all of</w:t>
      </w:r>
      <w:proofErr w:type="gramEnd"/>
      <w:r w:rsidRPr="00716D6C">
        <w:rPr>
          <w:szCs w:val="16"/>
        </w:rPr>
        <w:t xml:space="preserve"> a fund/portfolio’s holdings from time to time, in which case Schroders may use a range of alternative methods to assess the relevant holding. In addition, certain types of assets (such as cash)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61343323" w14:textId="77777777" w:rsidR="00716D6C" w:rsidRDefault="00716D6C" w:rsidP="00716D6C">
      <w:pPr>
        <w:pStyle w:val="Disclaimertext"/>
        <w:spacing w:before="0" w:after="120" w:line="240" w:lineRule="auto"/>
        <w:rPr>
          <w:szCs w:val="16"/>
        </w:rPr>
      </w:pPr>
      <w:r w:rsidRPr="00067C96">
        <w:rPr>
          <w:b/>
          <w:bCs/>
          <w:szCs w:val="16"/>
        </w:rPr>
        <w:t>CONTEXT™</w:t>
      </w:r>
      <w:r w:rsidRPr="00067C96">
        <w:rPr>
          <w:szCs w:val="16"/>
        </w:rPr>
        <w:t xml:space="preserve"> is a proprietary tool used by Schroders to support the analysis of companies’ and issuers’ management of the environmental, social and governance trends, challenges and opportunities that Schroders believes to be most relevant to that company’s or issuer’s industry. It provides access to a wide range of data sources chosen by Schroders. Any views or conclusions integrated into Schroders’ investment-decision making or research by fund managers or analysts through the use of CONTEXT™ will reflect their judgement of the sustainability of one or more aspects of the relevant company’s or issuer’s business model, rather than a systematic and data-driven score of the company or issuer in question.</w:t>
      </w:r>
    </w:p>
    <w:p w14:paraId="2A9AA2ED" w14:textId="77777777" w:rsidR="00716D6C" w:rsidRDefault="00716D6C" w:rsidP="00716D6C">
      <w:pPr>
        <w:pStyle w:val="BodyText"/>
        <w:rPr>
          <w:sz w:val="16"/>
          <w:szCs w:val="16"/>
        </w:rPr>
      </w:pPr>
      <w:proofErr w:type="spellStart"/>
      <w:r w:rsidRPr="00716D6C">
        <w:rPr>
          <w:b/>
          <w:bCs/>
          <w:sz w:val="16"/>
          <w:szCs w:val="16"/>
        </w:rPr>
        <w:t>NatCapEx</w:t>
      </w:r>
      <w:proofErr w:type="spellEnd"/>
      <w:r w:rsidRPr="00716D6C">
        <w:rPr>
          <w:b/>
          <w:bCs/>
          <w:sz w:val="16"/>
          <w:szCs w:val="16"/>
        </w:rPr>
        <w:t xml:space="preserve">™ </w:t>
      </w:r>
      <w:r w:rsidRPr="00716D6C">
        <w:rPr>
          <w:sz w:val="16"/>
          <w:szCs w:val="16"/>
        </w:rPr>
        <w:t xml:space="preserve">provides an estimate of the potential “impact” that an issuer may create in terms of net nature-related environmental “costs” or “benefits” of that issuer. It does this by using certain metrics with respect to that </w:t>
      </w:r>
      <w:proofErr w:type="gramStart"/>
      <w:r w:rsidRPr="00716D6C">
        <w:rPr>
          <w:sz w:val="16"/>
          <w:szCs w:val="16"/>
        </w:rPr>
        <w:t>issuer, and</w:t>
      </w:r>
      <w:proofErr w:type="gramEnd"/>
      <w:r w:rsidRPr="00716D6C">
        <w:rPr>
          <w:sz w:val="16"/>
          <w:szCs w:val="16"/>
        </w:rPr>
        <w:t xml:space="preserve"> quantifying them positively (for example by recycling plastics) and negatively (for example the non-GHG air pollutants an issuer emits) to produce an aggregate notional measure of the relevant underlying issuer’s environmental “costs”, “externalities” or “impacts”. </w:t>
      </w:r>
      <w:proofErr w:type="spellStart"/>
      <w:r w:rsidRPr="00716D6C">
        <w:rPr>
          <w:sz w:val="16"/>
          <w:szCs w:val="16"/>
        </w:rPr>
        <w:t>NatCapEx</w:t>
      </w:r>
      <w:proofErr w:type="spellEnd"/>
      <w:r w:rsidRPr="00716D6C">
        <w:rPr>
          <w:sz w:val="16"/>
          <w:szCs w:val="16"/>
        </w:rPr>
        <w:t xml:space="preserve">™ utilises and is reliant on third party data (including third party estimates) as well as Schroders’ own modelling assumptions, and the outcome may differ from other sustainability tools and measures. Where </w:t>
      </w:r>
      <w:proofErr w:type="spellStart"/>
      <w:r w:rsidRPr="00716D6C">
        <w:rPr>
          <w:sz w:val="16"/>
          <w:szCs w:val="16"/>
        </w:rPr>
        <w:t>NatCapEx</w:t>
      </w:r>
      <w:proofErr w:type="spellEnd"/>
      <w:r w:rsidRPr="00716D6C">
        <w:rPr>
          <w:sz w:val="16"/>
          <w:szCs w:val="16"/>
        </w:rPr>
        <w:t xml:space="preserve">™ relies on data and estimates produced by third parties, Schroders seeks to ensure that such data and estimates are accurate, but Schroders cannot and does not warrant the accuracy, completeness and adequacy of such third party data and estimates. Like any model, </w:t>
      </w:r>
      <w:proofErr w:type="spellStart"/>
      <w:r w:rsidRPr="00716D6C">
        <w:rPr>
          <w:sz w:val="16"/>
          <w:szCs w:val="16"/>
        </w:rPr>
        <w:t>NatCapEx</w:t>
      </w:r>
      <w:proofErr w:type="spellEnd"/>
      <w:r w:rsidRPr="00716D6C">
        <w:rPr>
          <w:sz w:val="16"/>
          <w:szCs w:val="16"/>
        </w:rPr>
        <w:t xml:space="preserve">™ will evolve and develop over time as Schroders continues to assess, refine and add to the metrics and their relative contributions. Generating </w:t>
      </w:r>
      <w:proofErr w:type="spellStart"/>
      <w:r w:rsidRPr="00716D6C">
        <w:rPr>
          <w:sz w:val="16"/>
          <w:szCs w:val="16"/>
        </w:rPr>
        <w:t>NatCapEx</w:t>
      </w:r>
      <w:proofErr w:type="spellEnd"/>
      <w:r w:rsidRPr="00716D6C">
        <w:rPr>
          <w:sz w:val="16"/>
          <w:szCs w:val="16"/>
        </w:rPr>
        <w:t xml:space="preserve">™ scores involves an element of judgment and subjectivity across the different metrics chosen by Schroders, and accordingly Schroders does not accept any liability arising from any inaccuracy or omission in, or the use of or reliance on, </w:t>
      </w:r>
      <w:proofErr w:type="spellStart"/>
      <w:r w:rsidRPr="00716D6C">
        <w:rPr>
          <w:sz w:val="16"/>
          <w:szCs w:val="16"/>
        </w:rPr>
        <w:t>NatCapEx</w:t>
      </w:r>
      <w:proofErr w:type="spellEnd"/>
      <w:r w:rsidRPr="00716D6C">
        <w:rPr>
          <w:sz w:val="16"/>
          <w:szCs w:val="16"/>
        </w:rPr>
        <w:t xml:space="preserve">™ scores. As the model evolves, changes made to how metrics are applied may result in changes to the </w:t>
      </w:r>
      <w:proofErr w:type="spellStart"/>
      <w:r w:rsidRPr="00716D6C">
        <w:rPr>
          <w:sz w:val="16"/>
          <w:szCs w:val="16"/>
        </w:rPr>
        <w:t>NatCapEx</w:t>
      </w:r>
      <w:proofErr w:type="spellEnd"/>
      <w:r w:rsidRPr="00716D6C">
        <w:rPr>
          <w:sz w:val="16"/>
          <w:szCs w:val="16"/>
        </w:rPr>
        <w:t xml:space="preserve">™ score of any issuer and ultimately the overall fund/portfolio score. At the same time, of course, the issuer’s </w:t>
      </w:r>
      <w:proofErr w:type="spellStart"/>
      <w:r w:rsidRPr="00716D6C">
        <w:rPr>
          <w:sz w:val="16"/>
          <w:szCs w:val="16"/>
        </w:rPr>
        <w:t>NatCapEx</w:t>
      </w:r>
      <w:proofErr w:type="spellEnd"/>
      <w:r w:rsidRPr="00716D6C">
        <w:rPr>
          <w:sz w:val="16"/>
          <w:szCs w:val="16"/>
        </w:rPr>
        <w:t xml:space="preserve">™ performance might improve or deteriorate. Schroders’ proprietary sustainability tools including </w:t>
      </w:r>
      <w:proofErr w:type="spellStart"/>
      <w:r w:rsidRPr="00716D6C">
        <w:rPr>
          <w:sz w:val="16"/>
          <w:szCs w:val="16"/>
        </w:rPr>
        <w:t>NatCapEx</w:t>
      </w:r>
      <w:proofErr w:type="spellEnd"/>
      <w:r w:rsidRPr="00716D6C">
        <w:rPr>
          <w:sz w:val="16"/>
          <w:szCs w:val="16"/>
        </w:rPr>
        <w:t xml:space="preserve">™ may not cover </w:t>
      </w:r>
      <w:proofErr w:type="gramStart"/>
      <w:r w:rsidRPr="00716D6C">
        <w:rPr>
          <w:sz w:val="16"/>
          <w:szCs w:val="16"/>
        </w:rPr>
        <w:t>all of</w:t>
      </w:r>
      <w:proofErr w:type="gramEnd"/>
      <w:r w:rsidRPr="00716D6C">
        <w:rPr>
          <w:sz w:val="16"/>
          <w:szCs w:val="16"/>
        </w:rPr>
        <w:t xml:space="preserve"> a fund/portfolio’s holdings from time to time, in which case Schroders may use a range of alternative methods to assess the relevant holding. In addition, certain types of assets (such as cash and certain equivalent securities)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09693671" w14:textId="77777777" w:rsidR="00716D6C" w:rsidRPr="00716D6C" w:rsidRDefault="00716D6C" w:rsidP="00716D6C">
      <w:pPr>
        <w:pStyle w:val="BodyText"/>
        <w:rPr>
          <w:sz w:val="16"/>
          <w:szCs w:val="16"/>
        </w:rPr>
      </w:pPr>
      <w:r w:rsidRPr="00716D6C">
        <w:rPr>
          <w:b/>
          <w:bCs/>
          <w:sz w:val="16"/>
          <w:szCs w:val="16"/>
        </w:rPr>
        <w:t xml:space="preserve">ThemEx™ </w:t>
      </w:r>
      <w:r w:rsidRPr="00716D6C">
        <w:rPr>
          <w:sz w:val="16"/>
          <w:szCs w:val="16"/>
        </w:rPr>
        <w:t xml:space="preserve">is part of Schroders’ suite of proprietary sustainability tools. ThemEx™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Alignment is estimated systematically based on the company’s revenue from its underlying business activities. We draw on a range of data sources including data we have collected and aggregated ourselves. The model output estimates the degree to which business activities are positively or negatively aligned to super themes or the UN SDGs. Some business activities have complex and offsetting exposures which we aim to capture through alignment to multiple themes. Fertilisers, for instance, are positively aligned to reducing world hunger but this should be offset against the negative impacts on biodiversity. ThemEx™ will evolve and develop over time as Schroders continues to assess and refine the tool, including where applicable according to research and publications. As ThemEx™ is focused on revenue alignment from a company’s products and services, there is no alignment for operationally focused SDGs such as SDG 13 – Climate Action.  </w:t>
      </w:r>
    </w:p>
    <w:p w14:paraId="245A4673" w14:textId="77777777" w:rsidR="00716D6C" w:rsidRPr="00716D6C" w:rsidRDefault="00716D6C" w:rsidP="00716D6C">
      <w:pPr>
        <w:pStyle w:val="BodyText"/>
        <w:rPr>
          <w:sz w:val="16"/>
          <w:szCs w:val="16"/>
        </w:rPr>
      </w:pPr>
      <w:r w:rsidRPr="00716D6C">
        <w:rPr>
          <w:sz w:val="16"/>
          <w:szCs w:val="16"/>
        </w:rPr>
        <w:lastRenderedPageBreak/>
        <w:t xml:space="preserve">Schroders’ proprietary tools, including ThemEx™, may not cover </w:t>
      </w:r>
      <w:proofErr w:type="gramStart"/>
      <w:r w:rsidRPr="00716D6C">
        <w:rPr>
          <w:sz w:val="16"/>
          <w:szCs w:val="16"/>
        </w:rPr>
        <w:t>all of</w:t>
      </w:r>
      <w:proofErr w:type="gramEnd"/>
      <w:r w:rsidRPr="00716D6C">
        <w:rPr>
          <w:sz w:val="16"/>
          <w:szCs w:val="16"/>
        </w:rPr>
        <w:t xml:space="preserve"> a portfolio’s holdings from time to time, in which case Schroders may use a range of alternative methods to assess the relevant holding. In addition, certain types of assets (such as cash) are treated as neutral and are therefore not considered by our proprietary tools.</w:t>
      </w:r>
    </w:p>
    <w:p w14:paraId="364D6280" w14:textId="77777777" w:rsidR="00716D6C" w:rsidRPr="00716D6C" w:rsidRDefault="00716D6C" w:rsidP="00716D6C">
      <w:pPr>
        <w:pStyle w:val="BodyText"/>
        <w:rPr>
          <w:sz w:val="16"/>
          <w:szCs w:val="16"/>
        </w:rPr>
      </w:pPr>
      <w:r w:rsidRPr="00716D6C">
        <w:rPr>
          <w:sz w:val="16"/>
          <w:szCs w:val="16"/>
        </w:rPr>
        <w:t>Overall net scores are generated based on the output of Schroders’ proprietary sustainability tool, ThemEx™, which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It does this by aggregating company scaled revenue exposure to business activities; the result is expressed as a notional percentage (positive or negative) of scaled revenue of the relevant underlying company. For example, a company with a ThemEx™ net score of +100% has revenue from products and services that are deemed completely positively aligned with one or more sustainable investment themes. Where revenue is aligned with multiple themes, to avoid revenue overstatement at the net level, the net alignment strength for a business activity is limited to 1. This means that if a company has full positive alignment with two or more themes for a business activity, the revenue exposure is only considered once at the net level but accounted for in both themes in a theme view. As such, SDG and super theme breakdown scores may not necessarily total to the overall net score. Additionally, as the UN SDGs are not identical to Schroders’ super themes, the overall SDG net score may not be the same as the overall theme net score in some cases.</w:t>
      </w:r>
    </w:p>
    <w:p w14:paraId="51C88F3B" w14:textId="77777777" w:rsidR="00716D6C" w:rsidRPr="00716D6C" w:rsidRDefault="00716D6C" w:rsidP="00716D6C">
      <w:pPr>
        <w:pStyle w:val="BodyText"/>
        <w:rPr>
          <w:sz w:val="16"/>
          <w:szCs w:val="16"/>
        </w:rPr>
      </w:pPr>
      <w:r w:rsidRPr="00716D6C">
        <w:rPr>
          <w:sz w:val="16"/>
          <w:szCs w:val="16"/>
        </w:rPr>
        <w:t>Schroders’ proprietary sustainability tools generate scores by using certain metrics and how scores are generated may change over time. Schroders’ proprietary sustainability tools may utilise and be reliant on third party data (including third party estimates) as well as our own modelling assumptions, and the outcome may differ from other sustainability tools and measures. Schroders seeks to ensure that such third party data and estimates are accurate, but Schroders cannot confirm the accuracy, completeness and adequacy of such third party data and estimates. Generating scores involves an element of judgment and subjectivity by Schroders, and, as Schroders’ proprietary sustainability tools evolve, changes made to how metrics are applied may result in changes to the score of any company. At the same time, of course, the company’s performance might improve or deteriorate. A company will be scored across applicable metrics and may score higher or lower on some metrics than on others. The scores are combined to provide an overall net score for the issuer.</w:t>
      </w:r>
    </w:p>
    <w:p w14:paraId="162BB642" w14:textId="77777777" w:rsidR="003911E6" w:rsidRDefault="003911E6" w:rsidP="003911E6">
      <w:pPr>
        <w:pStyle w:val="Disclaimertext"/>
        <w:spacing w:before="0" w:after="120" w:line="240" w:lineRule="auto"/>
        <w:rPr>
          <w:szCs w:val="16"/>
        </w:rPr>
      </w:pPr>
      <w:r w:rsidRPr="00067C96">
        <w:rPr>
          <w:b/>
          <w:bCs/>
          <w:szCs w:val="16"/>
        </w:rPr>
        <w:t>MSCI index:</w:t>
      </w:r>
      <w:r w:rsidRPr="00067C96">
        <w:rPr>
          <w:szCs w:val="16"/>
        </w:rPr>
        <w:t xml:space="preserve"> </w:t>
      </w:r>
      <w:r w:rsidRPr="008F75F9">
        <w:rPr>
          <w:szCs w:val="16"/>
        </w:rPr>
        <w:t xml:space="preserve">Source: MSCI. The MSCI information may only be used for your internal use, may not be reproduced or </w:t>
      </w:r>
      <w:proofErr w:type="spellStart"/>
      <w:r w:rsidRPr="008F75F9">
        <w:rPr>
          <w:szCs w:val="16"/>
        </w:rPr>
        <w:t>redisseminated</w:t>
      </w:r>
      <w:proofErr w:type="spellEnd"/>
      <w:r w:rsidRPr="008F75F9">
        <w:rPr>
          <w:szCs w:val="16"/>
        </w:rPr>
        <w:t xml:space="preserve"> in any form and may not be used as a basis for or a component of any financial instruments or products or indices. None of the MSCI information is intended to constitute investment advice or a recommendation to make (or refrain from making) any kind of investment decision and may not be relied on as such. Historical data and analysis should not be taken as an indication or guarantee of any future performance analysis, forecast or prediction. The MSCI information is provided on an “as is” basis and the user of this information assumes the entire risk of any use made of this information. MSCI, each of its affiliates and each other person involved in or related to compiling, computing or creating any MSCI information (collectively, the “MSCI Parties”) expressly disclaims all warranties (including, without limitation, any warranties of originality, accuracy, completeness, timeliness, non-infringement, merchantability and fitness for a particular purpose) with respect to this information. Without limiting any of the foregoing, in no event shall any MSCI Party have any liability for any direct, indirect, special, incidental, punitive, consequential (including, without limitation, lost profits) or any other damages. (</w:t>
      </w:r>
      <w:hyperlink r:id="rId10" w:history="1">
        <w:r w:rsidRPr="006A00E3">
          <w:rPr>
            <w:rStyle w:val="Hyperlink"/>
            <w:szCs w:val="16"/>
          </w:rPr>
          <w:t>www.msci.com</w:t>
        </w:r>
      </w:hyperlink>
      <w:r w:rsidRPr="008F75F9">
        <w:rPr>
          <w:szCs w:val="16"/>
        </w:rPr>
        <w:t>).</w:t>
      </w:r>
    </w:p>
    <w:p w14:paraId="25FBC411" w14:textId="77777777" w:rsidR="003911E6" w:rsidRPr="00067C96" w:rsidRDefault="003911E6" w:rsidP="003911E6">
      <w:pPr>
        <w:pStyle w:val="BodyText"/>
        <w:rPr>
          <w:sz w:val="16"/>
          <w:szCs w:val="16"/>
        </w:rPr>
      </w:pPr>
      <w:r w:rsidRPr="00067C96">
        <w:rPr>
          <w:b/>
          <w:bCs/>
          <w:sz w:val="16"/>
          <w:szCs w:val="16"/>
        </w:rPr>
        <w:t xml:space="preserve">FTSE index:  </w:t>
      </w:r>
      <w:r w:rsidRPr="00067C96">
        <w:rPr>
          <w:sz w:val="16"/>
          <w:szCs w:val="16"/>
        </w:rPr>
        <w:t xml:space="preserve">LSEG is the administrator of certain indices and benchmarks as detailed at https://www.lseg.com/en/ftse-russell/benchmarks. No other information provided, displayed or contained in any LSEG service is made available for use as a benchmark, whether in relation to a financial instrument, financial contract or to measure the performance of an investment fund, or otherwise in a way that would require the relevant information to be administered by a benchmark administrator pursuant to the Benchmarks Regulation (the “Prohibited Use”). LSEG does not grant rights for you to access or use such information for the Prohibited </w:t>
      </w:r>
      <w:proofErr w:type="gramStart"/>
      <w:r w:rsidRPr="00067C96">
        <w:rPr>
          <w:sz w:val="16"/>
          <w:szCs w:val="16"/>
        </w:rPr>
        <w:t>Use</w:t>
      </w:r>
      <w:proofErr w:type="gramEnd"/>
      <w:r w:rsidRPr="00067C96">
        <w:rPr>
          <w:sz w:val="16"/>
          <w:szCs w:val="16"/>
        </w:rPr>
        <w:t xml:space="preserve"> and you may breach the Benchmarks Regulation and/or any contract with LSEG if you do. </w:t>
      </w:r>
      <w:proofErr w:type="gramStart"/>
      <w:r w:rsidRPr="00067C96">
        <w:rPr>
          <w:sz w:val="16"/>
          <w:szCs w:val="16"/>
        </w:rPr>
        <w:t>In the event that</w:t>
      </w:r>
      <w:proofErr w:type="gramEnd"/>
      <w:r w:rsidRPr="00067C96">
        <w:rPr>
          <w:sz w:val="16"/>
          <w:szCs w:val="16"/>
        </w:rPr>
        <w:t xml:space="preserve"> you identify the Prohibited Use of information by any person, you must promptly notify LSEG and provide such details as we may reasonably request to ensure the cessation of the Prohibited Use, where appropriate. Notwithstanding the foregoing, where you have entered into a direct license with a third-party provider which permits the Prohibited Use with respect to such third party provider’s information, you are solely responsible for compliance with Benchmarks Regulation and LSEG shall have no liability or responsibility for any loss or damages that arise from or in connection with the Prohibited Use. LSEG and its affiliates do not warrant that any information is provided in compliance with the Benchmarks Regulation and accept no liability and have no responsibility for any loss or damages that arise from or in connection with the Prohibited Use of the information. “Benchmarks Regulation” means, in respect of the EEA, EU Regulation 2016/1011, in respect of UK, UK benchmarks regulation and in respect of another country, the equivalent legislation. If you are in any doubt about the meaning of the Prohibited Use or your obligations under the Benchmarks Regulation, you should seek professional advice.</w:t>
      </w:r>
    </w:p>
    <w:p w14:paraId="469D7B98" w14:textId="77777777" w:rsidR="003911E6" w:rsidRPr="00067C96" w:rsidRDefault="003911E6" w:rsidP="003911E6">
      <w:pPr>
        <w:pStyle w:val="BodyText"/>
        <w:rPr>
          <w:sz w:val="16"/>
          <w:szCs w:val="16"/>
        </w:rPr>
      </w:pPr>
      <w:r w:rsidRPr="00067C96">
        <w:rPr>
          <w:b/>
          <w:bCs/>
          <w:sz w:val="16"/>
          <w:szCs w:val="16"/>
        </w:rPr>
        <w:t>JP Morgan index</w:t>
      </w:r>
      <w:r w:rsidRPr="00067C96">
        <w:rPr>
          <w:sz w:val="16"/>
          <w:szCs w:val="16"/>
        </w:rPr>
        <w:t xml:space="preserve">: Information has been obtained from sources believed to be </w:t>
      </w:r>
      <w:proofErr w:type="gramStart"/>
      <w:r w:rsidRPr="00067C96">
        <w:rPr>
          <w:sz w:val="16"/>
          <w:szCs w:val="16"/>
        </w:rPr>
        <w:t>reliable</w:t>
      </w:r>
      <w:proofErr w:type="gramEnd"/>
      <w:r w:rsidRPr="00067C96">
        <w:rPr>
          <w:sz w:val="16"/>
          <w:szCs w:val="16"/>
        </w:rPr>
        <w:t xml:space="preserve"> but J.P. Morgan does not warrant its completeness or accuracy. The index is used with permission. The index may not be copied, used or distributed without J.P. Morgan's prior written approval. Copyright 2014, J.P. Morgan Chase &amp; Co. All rights reserved.</w:t>
      </w:r>
    </w:p>
    <w:p w14:paraId="229B51A2" w14:textId="77777777" w:rsidR="003911E6" w:rsidRPr="00067C96" w:rsidRDefault="003911E6" w:rsidP="003911E6">
      <w:pPr>
        <w:pStyle w:val="BodyText"/>
        <w:rPr>
          <w:sz w:val="16"/>
          <w:szCs w:val="16"/>
        </w:rPr>
      </w:pPr>
      <w:r w:rsidRPr="00067C96">
        <w:rPr>
          <w:b/>
          <w:bCs/>
          <w:sz w:val="16"/>
          <w:szCs w:val="16"/>
        </w:rPr>
        <w:t xml:space="preserve">©Morningstar </w:t>
      </w:r>
      <w:r>
        <w:rPr>
          <w:b/>
          <w:bCs/>
          <w:sz w:val="16"/>
          <w:szCs w:val="16"/>
        </w:rPr>
        <w:t>2026</w:t>
      </w:r>
      <w:r w:rsidRPr="00067C96">
        <w:rPr>
          <w:sz w:val="16"/>
          <w:szCs w:val="16"/>
        </w:rPr>
        <w:t>. All Rights Reserved. The information contained herein: (1) is proprietary to Morningstar and/or its content providers; (2) may not be copied or distributed; and (3) is not warranted to be accurate, complete or timely. Neither Morningstar nor its content providers are responsible for any damages or losses arising from any use of this information. Past performance is no guarantee of future results.</w:t>
      </w:r>
    </w:p>
    <w:p w14:paraId="3B977E68" w14:textId="77777777" w:rsidR="003911E6" w:rsidRPr="00067C96" w:rsidRDefault="003911E6" w:rsidP="003911E6">
      <w:pPr>
        <w:pStyle w:val="BodyText"/>
        <w:rPr>
          <w:sz w:val="16"/>
          <w:szCs w:val="16"/>
        </w:rPr>
      </w:pPr>
      <w:r w:rsidRPr="00067C96">
        <w:rPr>
          <w:b/>
          <w:bCs/>
          <w:sz w:val="16"/>
          <w:szCs w:val="16"/>
        </w:rPr>
        <w:t>©</w:t>
      </w:r>
      <w:r>
        <w:rPr>
          <w:b/>
          <w:bCs/>
          <w:sz w:val="16"/>
          <w:szCs w:val="16"/>
        </w:rPr>
        <w:t>2026</w:t>
      </w:r>
      <w:r w:rsidRPr="00067C96">
        <w:rPr>
          <w:b/>
          <w:bCs/>
          <w:sz w:val="16"/>
          <w:szCs w:val="16"/>
        </w:rPr>
        <w:t xml:space="preserve"> Nasdaq, Inc. </w:t>
      </w:r>
      <w:r w:rsidRPr="00067C96">
        <w:rPr>
          <w:sz w:val="16"/>
          <w:szCs w:val="16"/>
        </w:rPr>
        <w:t xml:space="preserve">All Rights Reserved. The information, data, analysis and Information contained herein (i) include the proprietary information of Nasdaq, Inc. and applicable Nasdaq Market, (ii) are subject to applicable Nasdaq Requirements (http://nasdaqtrader.com/Trader.aspx?id=GDP_Ops); (iii) may not be copied or further disseminated except as specifically authorized by Nasdaq, (iv) do not constitute investment advice, (v) are provided solely for informational purposes and (vi) Nasdaq makes no </w:t>
      </w:r>
      <w:r w:rsidRPr="00067C96">
        <w:rPr>
          <w:sz w:val="16"/>
          <w:szCs w:val="16"/>
        </w:rPr>
        <w:lastRenderedPageBreak/>
        <w:t>warranties including that the information is complete, accurate or timely. Nasdaq and Nasdaq Market bear no liability with respect to the data, analysis and Information.</w:t>
      </w:r>
    </w:p>
    <w:p w14:paraId="3DD92B5B" w14:textId="77777777" w:rsidR="003911E6" w:rsidRDefault="003911E6" w:rsidP="003911E6">
      <w:pPr>
        <w:pStyle w:val="BodyText"/>
        <w:rPr>
          <w:sz w:val="16"/>
          <w:szCs w:val="16"/>
        </w:rPr>
      </w:pPr>
      <w:r w:rsidRPr="00067C96">
        <w:rPr>
          <w:b/>
          <w:bCs/>
          <w:sz w:val="16"/>
          <w:szCs w:val="16"/>
        </w:rPr>
        <w:t>S&amp;P indices:</w:t>
      </w:r>
      <w:r w:rsidRPr="00067C96">
        <w:rPr>
          <w:sz w:val="16"/>
          <w:szCs w:val="16"/>
        </w:rPr>
        <w:t xml:space="preserve"> The S&amp;P 500 is a product of S&amp;P Dow Jones Indices LLC, its affiliates and/or their third party licensors (“SPDJI”</w:t>
      </w:r>
      <w:proofErr w:type="gramStart"/>
      <w:r w:rsidRPr="00067C96">
        <w:rPr>
          <w:sz w:val="16"/>
          <w:szCs w:val="16"/>
        </w:rPr>
        <w:t>), and</w:t>
      </w:r>
      <w:proofErr w:type="gramEnd"/>
      <w:r w:rsidRPr="00067C96">
        <w:rPr>
          <w:sz w:val="16"/>
          <w:szCs w:val="16"/>
        </w:rPr>
        <w:t xml:space="preserve"> has been licensed for use by Schroders. S&amp;P® is a registered trademark of Standard &amp; Poor’s Financial Services LLC (“S&amp;P”); Dow Jones® is a registered trademark of Dow Jones Trademark Holdings LLC (“Dow Jones”</w:t>
      </w:r>
      <w:proofErr w:type="gramStart"/>
      <w:r w:rsidRPr="00067C96">
        <w:rPr>
          <w:sz w:val="16"/>
          <w:szCs w:val="16"/>
        </w:rPr>
        <w:t>);and</w:t>
      </w:r>
      <w:proofErr w:type="gramEnd"/>
      <w:r w:rsidRPr="00067C96">
        <w:rPr>
          <w:sz w:val="16"/>
          <w:szCs w:val="16"/>
        </w:rPr>
        <w:t xml:space="preserve"> these trademarks have been licensed for use by SPDJI and sublicensed for certain purposes by Schroders. Schroders is not sponsored, endorsed, sold or promoted by SPDJI, Dow Jones, S&amp;P, their respective affiliates or their third party licensors and none of such parties make any representation regarding the advisability of investing in such product(s) nor do they have any liability for any errors, omissions, or interruptions of the S&amp;P 500.</w:t>
      </w:r>
    </w:p>
    <w:p w14:paraId="4F611827" w14:textId="77777777" w:rsidR="00953023" w:rsidRPr="003911E6" w:rsidRDefault="00953023" w:rsidP="00D65237">
      <w:pPr>
        <w:pStyle w:val="BodyText"/>
        <w:spacing w:before="240"/>
        <w:rPr>
          <w:b/>
          <w:bCs/>
          <w:sz w:val="16"/>
          <w:szCs w:val="16"/>
        </w:rPr>
      </w:pPr>
      <w:r w:rsidRPr="003911E6">
        <w:rPr>
          <w:b/>
          <w:bCs/>
          <w:sz w:val="16"/>
          <w:szCs w:val="16"/>
        </w:rPr>
        <w:t xml:space="preserve">Important </w:t>
      </w:r>
      <w:r w:rsidR="001D2095" w:rsidRPr="003911E6">
        <w:rPr>
          <w:b/>
          <w:bCs/>
          <w:sz w:val="16"/>
          <w:szCs w:val="16"/>
        </w:rPr>
        <w:t>I</w:t>
      </w:r>
      <w:r w:rsidRPr="003911E6">
        <w:rPr>
          <w:b/>
          <w:bCs/>
          <w:sz w:val="16"/>
          <w:szCs w:val="16"/>
        </w:rPr>
        <w:t>nformation</w:t>
      </w:r>
    </w:p>
    <w:p w14:paraId="5AE85EB1" w14:textId="77777777" w:rsidR="00EB2CB4" w:rsidRPr="0087273E" w:rsidRDefault="00EB2CB4" w:rsidP="0087273E">
      <w:pPr>
        <w:pStyle w:val="Disclaimertext"/>
        <w:spacing w:after="120" w:line="240" w:lineRule="auto"/>
        <w:rPr>
          <w:b/>
          <w:bCs/>
        </w:rPr>
      </w:pPr>
      <w:r w:rsidRPr="00E267E0">
        <w:rPr>
          <w:b/>
          <w:bCs/>
        </w:rPr>
        <w:t>For EEA and UK:</w:t>
      </w:r>
      <w:r>
        <w:rPr>
          <w:b/>
          <w:bCs/>
        </w:rPr>
        <w:t xml:space="preserve"> </w:t>
      </w:r>
      <w:r w:rsidRPr="000155C2">
        <w:rPr>
          <w:b/>
          <w:bCs/>
        </w:rPr>
        <w:t>Marketing material for Professional Clients only</w:t>
      </w:r>
      <w:r>
        <w:rPr>
          <w:b/>
          <w:bCs/>
        </w:rPr>
        <w:t>.</w:t>
      </w:r>
    </w:p>
    <w:p w14:paraId="1F8593EE" w14:textId="77777777" w:rsidR="00113154" w:rsidRPr="00113154" w:rsidRDefault="00953023" w:rsidP="007B5A24">
      <w:pPr>
        <w:pStyle w:val="Disclaimertext"/>
        <w:spacing w:before="0" w:after="120" w:line="240" w:lineRule="auto"/>
      </w:pPr>
      <w:r>
        <w:t>Nothing in this document should be construed as advice and is therefore not a recommendation to buy or sell shares. An investment in Schroder International Selection Fund (the "Company") entails risks, which are fully described in the prospectus.</w:t>
      </w:r>
    </w:p>
    <w:p w14:paraId="6288CCF4" w14:textId="77777777" w:rsidR="00113154" w:rsidRPr="00113154" w:rsidRDefault="00953023" w:rsidP="007B5A24">
      <w:pPr>
        <w:pStyle w:val="Disclaimertext"/>
        <w:spacing w:before="0" w:after="120" w:line="240" w:lineRule="auto"/>
      </w:pPr>
      <w:r>
        <w:t>Subscriptions for shares of the Company can only be made on the basis of its latest Key Information Document (the “KID”) and prospectus, together with the latest audited annual report (and subsequent unaudited semi-annual report, if published), copies of which can be obtained, free of charge, from Schroder Investment Management (Europe) S.A. An investment concerns the acquisition of shares in the Company, and not the underlying assets.</w:t>
      </w:r>
    </w:p>
    <w:p w14:paraId="352B8F06" w14:textId="77777777" w:rsidR="00EB7D61" w:rsidRPr="00113154" w:rsidRDefault="00EB7D61" w:rsidP="007B5A24">
      <w:pPr>
        <w:pStyle w:val="BodyText"/>
        <w:ind w:right="266"/>
        <w:rPr>
          <w:rFonts w:eastAsia="Times New Roman" w:cs="Arial"/>
          <w:sz w:val="16"/>
          <w:szCs w:val="17"/>
        </w:rPr>
      </w:pPr>
      <w:r w:rsidRPr="00113154">
        <w:rPr>
          <w:rFonts w:eastAsia="Times New Roman" w:cs="Arial"/>
          <w:sz w:val="16"/>
          <w:szCs w:val="17"/>
        </w:rPr>
        <w:t xml:space="preserve">The Company is a Luxembourg-based Société </w:t>
      </w:r>
      <w:proofErr w:type="spellStart"/>
      <w:r w:rsidRPr="00113154">
        <w:rPr>
          <w:rFonts w:eastAsia="Times New Roman" w:cs="Arial"/>
          <w:sz w:val="16"/>
          <w:szCs w:val="17"/>
        </w:rPr>
        <w:t>d'Investissement</w:t>
      </w:r>
      <w:proofErr w:type="spellEnd"/>
      <w:r w:rsidRPr="00113154">
        <w:rPr>
          <w:rFonts w:eastAsia="Times New Roman" w:cs="Arial"/>
          <w:sz w:val="16"/>
          <w:szCs w:val="17"/>
        </w:rPr>
        <w:t xml:space="preserve"> à Capital Variable (SICAV), established for an unlimited period and coordinated </w:t>
      </w:r>
      <w:proofErr w:type="gramStart"/>
      <w:r w:rsidRPr="00113154">
        <w:rPr>
          <w:rFonts w:eastAsia="Times New Roman" w:cs="Arial"/>
          <w:sz w:val="16"/>
          <w:szCs w:val="17"/>
        </w:rPr>
        <w:t>with regard to</w:t>
      </w:r>
      <w:proofErr w:type="gramEnd"/>
      <w:r w:rsidRPr="00113154">
        <w:rPr>
          <w:rFonts w:eastAsia="Times New Roman" w:cs="Arial"/>
          <w:sz w:val="16"/>
          <w:szCs w:val="17"/>
        </w:rPr>
        <w:t xml:space="preserve"> the European regulations and meets the criteria for Undertakings for Collective Investment in Transferable Securities (UCITS).</w:t>
      </w:r>
    </w:p>
    <w:p w14:paraId="631A9F9C" w14:textId="77777777" w:rsidR="00EB7D61" w:rsidRPr="00EB7D61" w:rsidRDefault="00EB7D61" w:rsidP="007B5A24">
      <w:pPr>
        <w:pStyle w:val="BodyText"/>
        <w:ind w:right="266"/>
        <w:rPr>
          <w:rFonts w:eastAsia="Times New Roman" w:cs="Arial"/>
          <w:sz w:val="16"/>
          <w:szCs w:val="17"/>
        </w:rPr>
      </w:pPr>
      <w:r w:rsidRPr="00113154">
        <w:rPr>
          <w:rFonts w:eastAsia="Times New Roman" w:cs="Arial"/>
          <w:sz w:val="16"/>
          <w:szCs w:val="17"/>
        </w:rPr>
        <w:t xml:space="preserve">The </w:t>
      </w:r>
      <w:r w:rsidR="00BD705D">
        <w:rPr>
          <w:rFonts w:eastAsia="Times New Roman" w:cs="Arial"/>
          <w:sz w:val="16"/>
          <w:szCs w:val="17"/>
        </w:rPr>
        <w:t>KIDs</w:t>
      </w:r>
      <w:r w:rsidRPr="00113154">
        <w:rPr>
          <w:rFonts w:eastAsia="Times New Roman" w:cs="Arial"/>
          <w:sz w:val="16"/>
          <w:szCs w:val="17"/>
        </w:rPr>
        <w:t xml:space="preserve"> are available in Bulgarian, Czech, Danish, Dutch, English, French, Finnish, German, Greek, Hungarian, Icelandic, Latvian, Lithuanian, Norwegian, Polish, Portuguese, Romanian, Slovakian, Spanish and Swedish, and the prospectus are available in English, Flemish, French, German, Spanish, free of charge at www.eifs.lu/schroders. The availability of </w:t>
      </w:r>
      <w:r w:rsidR="00BD705D">
        <w:rPr>
          <w:rFonts w:eastAsia="Times New Roman" w:cs="Arial"/>
          <w:sz w:val="16"/>
          <w:szCs w:val="17"/>
        </w:rPr>
        <w:t>KIDs</w:t>
      </w:r>
      <w:r w:rsidRPr="00113154">
        <w:rPr>
          <w:rFonts w:eastAsia="Times New Roman" w:cs="Arial"/>
          <w:sz w:val="16"/>
          <w:szCs w:val="17"/>
        </w:rPr>
        <w:t xml:space="preserve"> in the </w:t>
      </w:r>
      <w:proofErr w:type="gramStart"/>
      <w:r w:rsidRPr="00113154">
        <w:rPr>
          <w:rFonts w:eastAsia="Times New Roman" w:cs="Arial"/>
          <w:sz w:val="16"/>
          <w:szCs w:val="17"/>
        </w:rPr>
        <w:t>aforementioned languages</w:t>
      </w:r>
      <w:proofErr w:type="gramEnd"/>
      <w:r w:rsidRPr="00113154">
        <w:rPr>
          <w:rFonts w:eastAsia="Times New Roman" w:cs="Arial"/>
          <w:sz w:val="16"/>
          <w:szCs w:val="17"/>
        </w:rPr>
        <w:t xml:space="preserve"> is subject to the registration of the fund in the respective jurisdiction.</w:t>
      </w:r>
    </w:p>
    <w:p w14:paraId="0F6A19FD" w14:textId="77777777" w:rsidR="00A5681A" w:rsidRPr="00A5681A" w:rsidRDefault="00A5681A" w:rsidP="007B5A24">
      <w:pPr>
        <w:pStyle w:val="BodyText"/>
        <w:ind w:right="266"/>
        <w:rPr>
          <w:sz w:val="16"/>
          <w:szCs w:val="16"/>
        </w:rPr>
      </w:pPr>
      <w:r w:rsidRPr="00953023">
        <w:rPr>
          <w:b/>
          <w:sz w:val="16"/>
          <w:szCs w:val="16"/>
        </w:rPr>
        <w:t xml:space="preserve">For Middle East, </w:t>
      </w:r>
      <w:proofErr w:type="gramStart"/>
      <w:r w:rsidRPr="00953023">
        <w:rPr>
          <w:bCs/>
          <w:sz w:val="16"/>
          <w:szCs w:val="16"/>
        </w:rPr>
        <w:t>This</w:t>
      </w:r>
      <w:proofErr w:type="gramEnd"/>
      <w:r w:rsidRPr="00953023">
        <w:rPr>
          <w:bCs/>
          <w:sz w:val="16"/>
          <w:szCs w:val="16"/>
        </w:rPr>
        <w:t xml:space="preserve"> document is intended only for professional investors who may receive it in compliance with applicable laws and regulations. This document is not intended for any professional investors in any jurisdiction where it is not permitted in accordance with applicable laws or regulations. Professional investors are as defined by laws and regulations applicable in each jurisdiction and may be defined as sophisticated investors. This document is not intended to be a financial promotion. Distributed by Schroder Investment Management Limited, located in Office 506, Level 5, Precinct Building 5, Dubai International Financial Centre, PO Box 506612 Dubai, United Arab Emirates. Regulated by the Dubai Financial Services Authority. This document is not subject to any form of approval by the DFSA. Accordingly, the DFSA has not approved any associated documents nor taken any steps to verify the information and has no responsibility for it.</w:t>
      </w:r>
    </w:p>
    <w:p w14:paraId="7473AB1D" w14:textId="77777777" w:rsidR="00AE2251" w:rsidRPr="00953023" w:rsidRDefault="00B73084" w:rsidP="007B5A24">
      <w:pPr>
        <w:pStyle w:val="BodyText"/>
        <w:ind w:right="266"/>
        <w:rPr>
          <w:sz w:val="16"/>
          <w:szCs w:val="16"/>
        </w:rPr>
      </w:pPr>
      <w:r w:rsidRPr="00953023">
        <w:rPr>
          <w:b/>
          <w:sz w:val="16"/>
          <w:szCs w:val="16"/>
        </w:rPr>
        <w:t xml:space="preserve">Notice to investors in United Arab Emirates, </w:t>
      </w:r>
      <w:proofErr w:type="gramStart"/>
      <w:r w:rsidRPr="00953023">
        <w:rPr>
          <w:bCs/>
          <w:sz w:val="16"/>
          <w:szCs w:val="16"/>
        </w:rPr>
        <w:t>This</w:t>
      </w:r>
      <w:proofErr w:type="gramEnd"/>
      <w:r w:rsidRPr="00953023">
        <w:rPr>
          <w:bCs/>
          <w:sz w:val="16"/>
          <w:szCs w:val="16"/>
        </w:rPr>
        <w:t xml:space="preserve"> document, and the information contained herein, does not constitute, and is not intended to constitute, a public offer of securities to the retail investors in the UAE and accordingly should not be construed as such. No regulatory authority in the UAE has any responsibility for reviewing or verifying this prospectus or any other documents in connection with the promotion of this fund. Accordingly, no regulatory authority in the UAE has approved the prospectus or any other associated documents, nor taken any steps to verify the information set out herein, and therefore no regulatory authority in the UAE has any responsibility for the same. The interests in the fund(s) (“Interests”) mentioned in the document may be illiquid and/or subject to restrictions on their resale. Prospective purchasers should conduct their own due diligence on the Interests. Anyone not understanding the contents of this document should consult an authorised financial adviser. Distributed by Schroder Investment Management Limited (Dubai Branch), located on Level 5, Office 506, Precinct Building 5, Dubai International Financial Centre, PO Box 506612, Dubai, United Arab Emirates and regulated by the Dubai Financial Services Authority (DFSA) and entered on the DFSA register under Firm Reference Number: F000513. This document is not subject to any form of regulation or approval by the DFSA. The DFSA has no responsibility for reviewing or verifying any document in connection with the contents.</w:t>
      </w:r>
    </w:p>
    <w:p w14:paraId="14787E2F" w14:textId="77777777" w:rsidR="00AE2251" w:rsidRPr="00953023" w:rsidRDefault="00B73084" w:rsidP="007B5A24">
      <w:pPr>
        <w:pStyle w:val="BodyText"/>
        <w:ind w:right="266"/>
        <w:rPr>
          <w:sz w:val="16"/>
          <w:szCs w:val="16"/>
        </w:rPr>
      </w:pPr>
      <w:r w:rsidRPr="00953023">
        <w:rPr>
          <w:b/>
          <w:sz w:val="16"/>
          <w:szCs w:val="16"/>
        </w:rPr>
        <w:t xml:space="preserve">Notice to investors in Bermuda, </w:t>
      </w:r>
      <w:proofErr w:type="gramStart"/>
      <w:r w:rsidRPr="00953023">
        <w:rPr>
          <w:bCs/>
          <w:sz w:val="16"/>
          <w:szCs w:val="16"/>
        </w:rPr>
        <w:t>The</w:t>
      </w:r>
      <w:proofErr w:type="gramEnd"/>
      <w:r w:rsidRPr="00953023">
        <w:rPr>
          <w:bCs/>
          <w:sz w:val="16"/>
          <w:szCs w:val="16"/>
        </w:rPr>
        <w:t xml:space="preserve"> fund is registered as an Overseas Fund with the Bermuda Monetary Authority (the “BMA”).  Overseas Funds are not subject to the BMA’s supervision and regulation, and registration as an Overseas Fund does not indicate that the BMA has approved or disapproved of the fund’s shares.</w:t>
      </w:r>
    </w:p>
    <w:p w14:paraId="6D8D9448" w14:textId="77777777" w:rsidR="00AE2251" w:rsidRPr="00953023" w:rsidRDefault="00B73084" w:rsidP="007B5A24">
      <w:pPr>
        <w:pStyle w:val="BodyText"/>
        <w:ind w:right="266"/>
        <w:rPr>
          <w:sz w:val="16"/>
          <w:szCs w:val="16"/>
        </w:rPr>
      </w:pPr>
      <w:r w:rsidRPr="00953023">
        <w:rPr>
          <w:b/>
          <w:sz w:val="16"/>
          <w:szCs w:val="16"/>
        </w:rPr>
        <w:t xml:space="preserve">Notice to investors in Switzerland, </w:t>
      </w:r>
      <w:r w:rsidRPr="00953023">
        <w:rPr>
          <w:bCs/>
          <w:sz w:val="16"/>
          <w:szCs w:val="16"/>
        </w:rPr>
        <w:t>Marketing material for Qualified Investors and Professional Clients Only. Schroder Investment Management (Switzerland) AG is the Swiss representative (Swiss Representative) and Schroder &amp; Co Bank AG is the paying agent in Switzerland of the Luxembourg domiciled Schroder International Selection Fund. The prospectus for Switzerland, the key information documents, the articles of association and the annual and semi-annual reports may be obtained free of charge from the Swiss Representative.</w:t>
      </w:r>
    </w:p>
    <w:p w14:paraId="6B7E8BBC" w14:textId="77777777" w:rsidR="00AE2251" w:rsidRPr="00953023" w:rsidRDefault="00B73084" w:rsidP="007B5A24">
      <w:pPr>
        <w:pStyle w:val="BodyText"/>
        <w:ind w:right="266"/>
        <w:rPr>
          <w:sz w:val="16"/>
          <w:szCs w:val="16"/>
        </w:rPr>
      </w:pPr>
      <w:r w:rsidRPr="00953023">
        <w:rPr>
          <w:b/>
          <w:sz w:val="16"/>
          <w:szCs w:val="16"/>
        </w:rPr>
        <w:t xml:space="preserve">Notice to investors in Spain, </w:t>
      </w:r>
      <w:r w:rsidRPr="00953023">
        <w:rPr>
          <w:bCs/>
          <w:sz w:val="16"/>
          <w:szCs w:val="16"/>
        </w:rPr>
        <w:t xml:space="preserve">The Company is registered in the Administrative Register of Foreign Collective Investment Institutions marketed in Spain of the National Securities Market Commission (CNMV), with the number 135. Its depository is J.P. Morgan </w:t>
      </w:r>
      <w:proofErr w:type="gramStart"/>
      <w:r w:rsidRPr="00953023">
        <w:rPr>
          <w:bCs/>
          <w:sz w:val="16"/>
          <w:szCs w:val="16"/>
        </w:rPr>
        <w:t>SE</w:t>
      </w:r>
      <w:proofErr w:type="gramEnd"/>
      <w:r w:rsidRPr="00953023">
        <w:rPr>
          <w:bCs/>
          <w:sz w:val="16"/>
          <w:szCs w:val="16"/>
        </w:rPr>
        <w:t xml:space="preserve"> and its management company is Schroder Investment Management (Europe) </w:t>
      </w:r>
      <w:proofErr w:type="gramStart"/>
      <w:r w:rsidRPr="00953023">
        <w:rPr>
          <w:bCs/>
          <w:sz w:val="16"/>
          <w:szCs w:val="16"/>
        </w:rPr>
        <w:t>S.A..</w:t>
      </w:r>
      <w:proofErr w:type="gramEnd"/>
      <w:r w:rsidRPr="00953023">
        <w:rPr>
          <w:bCs/>
          <w:sz w:val="16"/>
          <w:szCs w:val="16"/>
        </w:rPr>
        <w:t xml:space="preserve"> The Company is a UCITS registered in Luxembourg.</w:t>
      </w:r>
    </w:p>
    <w:p w14:paraId="70C3959E" w14:textId="77777777" w:rsidR="00AE2251" w:rsidRPr="00953023" w:rsidRDefault="00B73084" w:rsidP="007B5A24">
      <w:pPr>
        <w:pStyle w:val="BodyText"/>
        <w:ind w:right="266"/>
        <w:rPr>
          <w:sz w:val="16"/>
          <w:szCs w:val="16"/>
        </w:rPr>
      </w:pPr>
      <w:r w:rsidRPr="00953023">
        <w:rPr>
          <w:b/>
          <w:sz w:val="16"/>
          <w:szCs w:val="16"/>
        </w:rPr>
        <w:t xml:space="preserve">Notice to investors in the UK, </w:t>
      </w:r>
      <w:proofErr w:type="gramStart"/>
      <w:r w:rsidRPr="00953023">
        <w:rPr>
          <w:bCs/>
          <w:sz w:val="16"/>
          <w:szCs w:val="16"/>
        </w:rPr>
        <w:t>The</w:t>
      </w:r>
      <w:proofErr w:type="gramEnd"/>
      <w:r w:rsidRPr="00953023">
        <w:rPr>
          <w:bCs/>
          <w:sz w:val="16"/>
          <w:szCs w:val="16"/>
        </w:rPr>
        <w:t xml:space="preserve"> prospectus and KIDs are available in English at https://www.schroders.com/en-gb/uk/individual/fund-centre/. This product is based overseas and is not subject to UK sustainable investment labelling and disclosure requirements. The fund is authorised overseas and recognised in the UK under the Overseas Fund Regime. The UK Financial Ombudsman Service is unlikely to be able to consider complaints relating to this fund, its operator, or its depositary. Any claims for losses relating to the operator or depositary of the fund are unlikely to be covered by the UK Financial Services </w:t>
      </w:r>
      <w:r w:rsidRPr="00953023">
        <w:rPr>
          <w:bCs/>
          <w:sz w:val="16"/>
          <w:szCs w:val="16"/>
        </w:rPr>
        <w:lastRenderedPageBreak/>
        <w:t>Compensation Scheme. Prospective investors should consider seeking independent financial advice and review the fund prospectus before making an investment decision.</w:t>
      </w:r>
    </w:p>
    <w:p w14:paraId="1A4FC503" w14:textId="77777777" w:rsidR="00AE2251" w:rsidRPr="00953023" w:rsidRDefault="00B73084" w:rsidP="007B5A24">
      <w:pPr>
        <w:pStyle w:val="BodyText"/>
        <w:ind w:right="266"/>
        <w:rPr>
          <w:sz w:val="16"/>
          <w:szCs w:val="16"/>
        </w:rPr>
      </w:pPr>
      <w:r w:rsidRPr="00953023">
        <w:rPr>
          <w:b/>
          <w:sz w:val="16"/>
          <w:szCs w:val="16"/>
        </w:rPr>
        <w:t xml:space="preserve">Notice to investors in Italy, </w:t>
      </w:r>
      <w:proofErr w:type="gramStart"/>
      <w:r w:rsidRPr="00953023">
        <w:rPr>
          <w:bCs/>
          <w:sz w:val="16"/>
          <w:szCs w:val="16"/>
        </w:rPr>
        <w:t>The</w:t>
      </w:r>
      <w:proofErr w:type="gramEnd"/>
      <w:r w:rsidRPr="00953023">
        <w:rPr>
          <w:bCs/>
          <w:sz w:val="16"/>
          <w:szCs w:val="16"/>
        </w:rPr>
        <w:t xml:space="preserve"> prospectus and KIDs are available in Italian, free of charge, from Schroder Investment Management (Europe) S.A., Via Manzoni 5, 20121 Milan and from our distributors.</w:t>
      </w:r>
    </w:p>
    <w:p w14:paraId="0145CC40" w14:textId="77777777" w:rsidR="00194907" w:rsidRPr="00A23F93" w:rsidRDefault="00310EDC" w:rsidP="007B5A24">
      <w:pPr>
        <w:pStyle w:val="Disclaimertext"/>
        <w:spacing w:before="0" w:after="120" w:line="240" w:lineRule="auto"/>
      </w:pPr>
      <w:r>
        <w:t>The fund has environmental and/or social characteristics within the meaning of Article 8 of Regulation (EU) 2019/2088 on Sustainability-related Disclosures in the Financial Services Sector (the “SFDR”). For information on sustainability-related aspects of this fund please go to https://www.schroders.com/en/global/individual/all-eu-sites/</w:t>
      </w:r>
    </w:p>
    <w:p w14:paraId="6DB963A7" w14:textId="77777777" w:rsidR="00194907" w:rsidRPr="00A23F93" w:rsidRDefault="00310EDC" w:rsidP="007B5A24">
      <w:pPr>
        <w:pStyle w:val="Disclaimertext"/>
        <w:spacing w:before="0" w:after="120" w:line="240" w:lineRule="auto"/>
      </w:pPr>
      <w:r>
        <w:t>Any reference to regions/ countries/ sectors/ stocks/ securities is for illustrative purposes only and not a recommendation to buy or sell any financial instruments or adopt a specific investment strategy.</w:t>
      </w:r>
    </w:p>
    <w:p w14:paraId="7C30E48B" w14:textId="77777777" w:rsidR="00194907" w:rsidRPr="00A23F93" w:rsidRDefault="00310EDC" w:rsidP="007B5A24">
      <w:pPr>
        <w:pStyle w:val="Disclaimertext"/>
        <w:spacing w:before="0" w:after="120" w:line="240" w:lineRule="auto"/>
      </w:pPr>
      <w:r>
        <w:t xml:space="preserve">Schroders may decide to cease the distribution of any fund(s) in any EEA country at any </w:t>
      </w:r>
      <w:proofErr w:type="gramStart"/>
      <w:r>
        <w:t>time</w:t>
      </w:r>
      <w:proofErr w:type="gramEnd"/>
      <w:r>
        <w:t xml:space="preserve"> but we will publish our intention to do so on our website, in line with applicable regulatory requirements.</w:t>
      </w:r>
    </w:p>
    <w:p w14:paraId="7ABC9D02" w14:textId="77777777" w:rsidR="00970DD6" w:rsidRDefault="00C83FDE" w:rsidP="007B5A24">
      <w:pPr>
        <w:pStyle w:val="Disclaimertext"/>
        <w:tabs>
          <w:tab w:val="left" w:pos="4080"/>
        </w:tabs>
        <w:spacing w:before="0" w:after="120" w:line="240" w:lineRule="auto"/>
      </w:pPr>
      <w:r w:rsidRPr="00970DD6">
        <w:rPr>
          <w:b/>
          <w:bCs/>
        </w:rPr>
        <w:t>Past Performance is not a guide to future performance and may not be repeated. The value of investments and the income from them may go down as well as up and investors may not get back the amounts originally invested. Exchange rate changes may cause the value of investments to fall as well as rise.</w:t>
      </w:r>
      <w:r>
        <w:tab/>
      </w:r>
    </w:p>
    <w:p w14:paraId="30E040F3" w14:textId="77777777" w:rsidR="00C83FDE" w:rsidRDefault="00C83FDE" w:rsidP="007B5A24">
      <w:pPr>
        <w:pStyle w:val="Disclaimertext"/>
        <w:spacing w:before="0" w:after="120" w:line="240" w:lineRule="auto"/>
        <w:rPr>
          <w:rFonts w:eastAsiaTheme="minorHAnsi" w:cstheme="minorBidi"/>
          <w:sz w:val="19"/>
          <w:szCs w:val="22"/>
        </w:rPr>
      </w:pPr>
      <w:r>
        <w:t xml:space="preserve">Performance data does not </w:t>
      </w:r>
      <w:proofErr w:type="gramStart"/>
      <w:r>
        <w:t>take into account</w:t>
      </w:r>
      <w:proofErr w:type="gramEnd"/>
      <w:r>
        <w:t xml:space="preserve"> any commissions and costs, if any, charged when units or shares of any fund, as applicable, are issued and redeemed.</w:t>
      </w:r>
    </w:p>
    <w:p w14:paraId="2628816C" w14:textId="77777777" w:rsidR="00970DD6" w:rsidRDefault="00970DD6" w:rsidP="007B5A24">
      <w:pPr>
        <w:pStyle w:val="Disclaimertext"/>
        <w:spacing w:before="0" w:after="120" w:line="240" w:lineRule="auto"/>
      </w:pPr>
      <w:r>
        <w:t xml:space="preserve">Schroders has expressed its own views and opinions in this </w:t>
      </w:r>
      <w:proofErr w:type="gramStart"/>
      <w:r>
        <w:t>document</w:t>
      </w:r>
      <w:proofErr w:type="gramEnd"/>
      <w:r>
        <w:t xml:space="preserve"> and these may change.</w:t>
      </w:r>
    </w:p>
    <w:p w14:paraId="7AF9C939" w14:textId="77777777" w:rsidR="00970DD6" w:rsidRDefault="00970DD6" w:rsidP="007B5A24">
      <w:pPr>
        <w:pStyle w:val="Disclaimertext"/>
        <w:spacing w:before="0" w:after="120" w:line="240" w:lineRule="auto"/>
      </w:pPr>
      <w:r>
        <w:t>The information contained herein is believed to be reliable. Where third-party data is referenced, it remains subject to the rights of the respective provider and must not be reproduced or used without prior consent.</w:t>
      </w:r>
    </w:p>
    <w:p w14:paraId="5BA98A5D" w14:textId="77777777" w:rsidR="00970DD6" w:rsidRDefault="00970DD6" w:rsidP="007B5A24">
      <w:pPr>
        <w:pStyle w:val="Disclaimertext"/>
        <w:spacing w:before="0" w:after="120" w:line="240" w:lineRule="auto"/>
      </w:pPr>
      <w:r>
        <w:t>This material may contain "forward-looking" information, such as forecasts or projections. Any forecasts stated in this material are not guaranteed and are provided for information purposes only.</w:t>
      </w:r>
    </w:p>
    <w:p w14:paraId="122DF8F7" w14:textId="77777777" w:rsidR="00970DD6" w:rsidRDefault="00970DD6" w:rsidP="007B5A24">
      <w:pPr>
        <w:pStyle w:val="Disclaimertext"/>
        <w:spacing w:before="0" w:after="120" w:line="240" w:lineRule="auto"/>
      </w:pPr>
      <w:r>
        <w:t>Communications with Schroder’s representatives may be recorded for regulatory and monitoring purposes. Schroders will be a data controller in respect of your personal data. For information on how Schroders might process your personal data, please view our Privacy Policy available at https://www.schroders.com/en/global/individual/footer/privacy-statement/ or on request should you not have access to this webpage.</w:t>
      </w:r>
    </w:p>
    <w:p w14:paraId="08B4D3C8" w14:textId="77777777" w:rsidR="00970DD6" w:rsidRDefault="00970DD6" w:rsidP="007B5A24">
      <w:pPr>
        <w:pStyle w:val="Disclaimertext"/>
        <w:spacing w:before="0" w:after="120" w:line="240" w:lineRule="auto"/>
      </w:pPr>
      <w:r>
        <w:t>A summary of investor rights may be obtained in Bulgarian, Czech, Dutch, English, French, German, Greek, Hungarian, Italian, Polish, Portuguese, Slovakian, Spanish and Swedish from https://www.schroders.com/en/global/individual/summary-of-investor-rights/</w:t>
      </w:r>
    </w:p>
    <w:p w14:paraId="1C2D4E0A" w14:textId="77777777" w:rsidR="00970DD6" w:rsidRDefault="00970DD6" w:rsidP="007B5A24">
      <w:pPr>
        <w:pStyle w:val="Disclaimertext"/>
        <w:spacing w:before="0" w:after="120" w:line="240" w:lineRule="auto"/>
      </w:pPr>
      <w:r>
        <w:t xml:space="preserve">Issued by Schroder Investment Management (Europe) S.A., 5, </w:t>
      </w:r>
      <w:proofErr w:type="spellStart"/>
      <w:r>
        <w:t>Heienhaff</w:t>
      </w:r>
      <w:proofErr w:type="spellEnd"/>
      <w:r>
        <w:t xml:space="preserve">, L-1736 </w:t>
      </w:r>
      <w:proofErr w:type="spellStart"/>
      <w:r>
        <w:t>Senningerberg</w:t>
      </w:r>
      <w:proofErr w:type="spellEnd"/>
      <w:r>
        <w:t>, Luxembourg. Registration No B 37.799.</w:t>
      </w:r>
    </w:p>
    <w:p w14:paraId="111799D2" w14:textId="77777777" w:rsidR="00194907" w:rsidRDefault="00DB6B18" w:rsidP="007B5A24">
      <w:pPr>
        <w:pStyle w:val="Disclaimertext"/>
        <w:spacing w:before="0" w:after="120" w:line="240" w:lineRule="auto"/>
      </w:pPr>
      <w:r>
        <w:t xml:space="preserve">Distributed in Switzerland by Schroder Investment Management (Switzerland) AG, </w:t>
      </w:r>
      <w:proofErr w:type="spellStart"/>
      <w:r>
        <w:t>Talstrasse</w:t>
      </w:r>
      <w:proofErr w:type="spellEnd"/>
      <w:r>
        <w:t xml:space="preserve"> 11, CH-8001 Zurich, Switzerland, a fund management company authorised and supervised by the Swiss Financial Market Supervisory Authority FINMA, </w:t>
      </w:r>
      <w:proofErr w:type="spellStart"/>
      <w:r>
        <w:t>Laupenstrasse</w:t>
      </w:r>
      <w:proofErr w:type="spellEnd"/>
      <w:r>
        <w:t xml:space="preserve"> 27, CH-3003 Bern.</w:t>
      </w:r>
    </w:p>
    <w:p w14:paraId="5174CC01" w14:textId="77777777" w:rsidR="00194907" w:rsidRDefault="00DB6B18" w:rsidP="007B5A24">
      <w:pPr>
        <w:pStyle w:val="Disclaimertext"/>
        <w:spacing w:before="0" w:after="120" w:line="240" w:lineRule="auto"/>
      </w:pPr>
      <w:r>
        <w:t>Distributed in Spain by Schroder Investment Management (Europe) S.A., Spanish branch, a foreign management company, registered in the EEA investment firm register with the National Market Commission of Securities (CNMV) with the number 20.</w:t>
      </w:r>
    </w:p>
    <w:p w14:paraId="08C31D7B" w14:textId="77777777" w:rsidR="00194907" w:rsidRDefault="00DB6B18" w:rsidP="007B5A24">
      <w:pPr>
        <w:pStyle w:val="Disclaimertext"/>
        <w:spacing w:before="0" w:after="120" w:line="240" w:lineRule="auto"/>
      </w:pPr>
      <w:r>
        <w:t>Distributed in the UK by Schroder Investment Management Ltd, 1 London Wall Place, London EC2Y 5AU. Registration No 1893220 England. Authorised and regulated by the Financial Conduct Authority.</w:t>
      </w:r>
    </w:p>
    <w:p w14:paraId="404EA65D" w14:textId="77777777" w:rsidR="00194907" w:rsidRDefault="00DB6B18" w:rsidP="007B5A24">
      <w:pPr>
        <w:pStyle w:val="Disclaimertext"/>
        <w:spacing w:before="0" w:after="120" w:line="240" w:lineRule="auto"/>
      </w:pPr>
      <w:r>
        <w:t>Distributed in Portugal by Schroder Investment Management (Europe), S.A., registered with the Portuguese Securities Market Commission (CMVM) under the Freedom to Provide Services and with a branch in Spain, registered with the National Securities Market Commission (CNMV) of Investment Services Companies of the European Economic Area with a branch in Spain under number 20.</w:t>
      </w:r>
      <w:bookmarkEnd w:id="0"/>
      <w:bookmarkEnd w:id="1"/>
    </w:p>
    <w:sectPr w:rsidR="00194907" w:rsidSect="007943EA">
      <w:footerReference w:type="default" r:id="rId11"/>
      <w:footerReference w:type="first" r:id="rId12"/>
      <w:pgSz w:w="11906" w:h="16838" w:code="9"/>
      <w:pgMar w:top="851" w:right="851" w:bottom="624"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0332D" w14:textId="77777777" w:rsidR="00EB2CB4" w:rsidRPr="00A23F93" w:rsidRDefault="00EB2CB4" w:rsidP="00EC4E49">
      <w:r w:rsidRPr="00A23F93">
        <w:separator/>
      </w:r>
    </w:p>
    <w:p w14:paraId="0267F994" w14:textId="77777777" w:rsidR="00EB2CB4" w:rsidRPr="00A23F93" w:rsidRDefault="00EB2CB4"/>
    <w:p w14:paraId="69DE4707" w14:textId="77777777" w:rsidR="00EB2CB4" w:rsidRPr="00A23F93" w:rsidRDefault="00EB2CB4"/>
    <w:p w14:paraId="0F57D474" w14:textId="77777777" w:rsidR="00EB2CB4" w:rsidRPr="00A23F93" w:rsidRDefault="00EB2CB4"/>
    <w:p w14:paraId="377E28C1" w14:textId="77777777" w:rsidR="00EB2CB4" w:rsidRPr="00A23F93" w:rsidRDefault="00EB2CB4"/>
    <w:p w14:paraId="7DEE39F1" w14:textId="77777777" w:rsidR="00EB2CB4" w:rsidRPr="00A23F93" w:rsidRDefault="00EB2CB4"/>
  </w:endnote>
  <w:endnote w:type="continuationSeparator" w:id="0">
    <w:p w14:paraId="0F1874B9" w14:textId="77777777" w:rsidR="00EB2CB4" w:rsidRPr="00A23F93" w:rsidRDefault="00EB2CB4" w:rsidP="00EC4E49">
      <w:r w:rsidRPr="00A23F93">
        <w:continuationSeparator/>
      </w:r>
    </w:p>
    <w:p w14:paraId="38429B19" w14:textId="77777777" w:rsidR="00EB2CB4" w:rsidRPr="00A23F93" w:rsidRDefault="00EB2CB4"/>
    <w:p w14:paraId="6E44E944" w14:textId="77777777" w:rsidR="00EB2CB4" w:rsidRPr="00A23F93" w:rsidRDefault="00EB2CB4"/>
    <w:p w14:paraId="64B5D814" w14:textId="77777777" w:rsidR="00EB2CB4" w:rsidRPr="00A23F93" w:rsidRDefault="00EB2CB4"/>
    <w:p w14:paraId="2F2F5334" w14:textId="77777777" w:rsidR="00EB2CB4" w:rsidRPr="00A23F93" w:rsidRDefault="00EB2CB4"/>
    <w:p w14:paraId="4597C6DC" w14:textId="77777777" w:rsidR="00EB2CB4" w:rsidRPr="00A23F93" w:rsidRDefault="00EB2CB4"/>
  </w:endnote>
  <w:endnote w:type="continuationNotice" w:id="1">
    <w:p w14:paraId="3310AECE" w14:textId="77777777" w:rsidR="00EB2CB4" w:rsidRPr="00A23F93" w:rsidRDefault="00EB2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roders Circular TT">
    <w:panose1 w:val="020B0804020101010102"/>
    <w:charset w:val="00"/>
    <w:family w:val="swiss"/>
    <w:pitch w:val="variable"/>
    <w:sig w:usb0="A00000BF" w:usb1="5000E47B" w:usb2="00000008" w:usb3="00000000" w:csb0="00000093" w:csb1="00000000"/>
  </w:font>
  <w:font w:name="SimHei">
    <w:panose1 w:val="02010600030101010101"/>
    <w:charset w:val="86"/>
    <w:family w:val="modern"/>
    <w:pitch w:val="fixed"/>
    <w:sig w:usb0="800002BF" w:usb1="38CF7CFA" w:usb2="00000016" w:usb3="00000000" w:csb0="00040001" w:csb1="00000000"/>
  </w:font>
  <w:font w:name="Schroders Circular TT Black">
    <w:panose1 w:val="020B0A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C251" w14:textId="77777777" w:rsidR="00626DB0" w:rsidRPr="00A23F93" w:rsidRDefault="00626DB0" w:rsidP="007943EA">
    <w:pPr>
      <w:spacing w:line="200" w:lineRule="exact"/>
      <w:ind w:firstLine="720"/>
      <w:rPr>
        <w:rFonts w:ascii="Noto Sans" w:hAnsi="Noto San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65"/>
      <w:gridCol w:w="5262"/>
      <w:gridCol w:w="377"/>
    </w:tblGrid>
    <w:tr w:rsidR="00626DB0" w:rsidRPr="00A23F93" w14:paraId="228CDD5A" w14:textId="77777777" w:rsidTr="00F13ACE">
      <w:trPr>
        <w:trHeight w:hRule="exact" w:val="340"/>
      </w:trPr>
      <w:tc>
        <w:tcPr>
          <w:tcW w:w="4438" w:type="dxa"/>
          <w:vAlign w:val="center"/>
        </w:tcPr>
        <w:p w14:paraId="4646880C" w14:textId="77777777" w:rsidR="00626DB0" w:rsidRPr="00A23F93" w:rsidRDefault="00626DB0" w:rsidP="005F7F3D">
          <w:pPr>
            <w:pStyle w:val="BodyText"/>
            <w:rPr>
              <w:szCs w:val="16"/>
            </w:rPr>
          </w:pPr>
        </w:p>
      </w:tc>
      <w:tc>
        <w:tcPr>
          <w:tcW w:w="5117" w:type="dxa"/>
          <w:vAlign w:val="center"/>
        </w:tcPr>
        <w:p w14:paraId="1ADE2069" w14:textId="598A2557" w:rsidR="00626DB0" w:rsidRPr="00A23F93" w:rsidRDefault="007C6C31" w:rsidP="002C423C">
          <w:pPr>
            <w:pStyle w:val="Prussiannavyfootertextright"/>
          </w:pPr>
          <w:r>
            <w:t xml:space="preserve">Schroder ISF* </w:t>
          </w:r>
          <w:r w:rsidR="00C96DBF">
            <w:t>EURO</w:t>
          </w:r>
          <w:r>
            <w:t xml:space="preserve"> Credit Conviction Short Duration</w:t>
          </w:r>
        </w:p>
      </w:tc>
      <w:tc>
        <w:tcPr>
          <w:tcW w:w="367" w:type="dxa"/>
          <w:vAlign w:val="center"/>
        </w:tcPr>
        <w:p w14:paraId="568E0CC6" w14:textId="77777777" w:rsidR="00626DB0" w:rsidRPr="00A23F93" w:rsidRDefault="00626DB0" w:rsidP="0095184E">
          <w:pPr>
            <w:pStyle w:val="PageNumber1"/>
          </w:pPr>
          <w:r w:rsidRPr="00A23F93">
            <w:rPr>
              <w:rStyle w:val="PageNumber"/>
              <w:b/>
            </w:rPr>
            <w:fldChar w:fldCharType="begin"/>
          </w:r>
          <w:r w:rsidRPr="00A23F93">
            <w:rPr>
              <w:rStyle w:val="PageNumber"/>
              <w:b/>
            </w:rPr>
            <w:instrText xml:space="preserve"> PAGE   \* MERGEFORMAT </w:instrText>
          </w:r>
          <w:r w:rsidRPr="00A23F93">
            <w:rPr>
              <w:rStyle w:val="PageNumber"/>
              <w:b/>
            </w:rPr>
            <w:fldChar w:fldCharType="separate"/>
          </w:r>
          <w:r w:rsidRPr="00A23F93">
            <w:rPr>
              <w:rStyle w:val="PageNumber"/>
              <w:b/>
            </w:rPr>
            <w:t>1</w:t>
          </w:r>
          <w:r w:rsidRPr="00A23F93">
            <w:rPr>
              <w:rStyle w:val="PageNumber"/>
              <w:b/>
            </w:rPr>
            <w:fldChar w:fldCharType="end"/>
          </w:r>
        </w:p>
      </w:tc>
    </w:tr>
  </w:tbl>
  <w:p w14:paraId="11147BDF" w14:textId="77777777" w:rsidR="00626DB0" w:rsidRPr="00A23F93" w:rsidRDefault="00626DB0" w:rsidP="00903816">
    <w:pPr>
      <w:spacing w:line="200" w:lineRule="exact"/>
      <w:rPr>
        <w:rFonts w:ascii="Noto Sans" w:hAnsi="Noto San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107D" w14:textId="77777777" w:rsidR="00B66C15" w:rsidRDefault="00B66C15" w:rsidP="00B66C15">
    <w:pPr>
      <w:pStyle w:val="FootnoteText"/>
    </w:pPr>
    <w:r>
      <w:t>*Schroder International Selection Fund is referred to as Schroder ISF throughout.</w:t>
    </w:r>
  </w:p>
  <w:p w14:paraId="103D40C3" w14:textId="77777777" w:rsidR="00B5080A" w:rsidRPr="00B66C15" w:rsidRDefault="00634810" w:rsidP="00B66C15">
    <w:pPr>
      <w:pStyle w:val="FootnoteText"/>
      <w:rPr>
        <w:sz w:val="19"/>
        <w:szCs w:val="22"/>
      </w:rPr>
    </w:pPr>
    <w:r>
      <w:tab/>
    </w:r>
    <w:r>
      <w:rPr>
        <w:noProof/>
      </w:rPr>
      <w:drawing>
        <wp:anchor distT="0" distB="0" distL="114300" distR="114300" simplePos="0" relativeHeight="251659264" behindDoc="0" locked="1" layoutInCell="1" allowOverlap="1" wp14:anchorId="631374FB" wp14:editId="5A5FD0C3">
          <wp:simplePos x="0" y="0"/>
          <wp:positionH relativeFrom="page">
            <wp:posOffset>5478780</wp:posOffset>
          </wp:positionH>
          <wp:positionV relativeFrom="page">
            <wp:posOffset>10188575</wp:posOffset>
          </wp:positionV>
          <wp:extent cx="1536700" cy="287655"/>
          <wp:effectExtent l="0" t="0" r="6350" b="0"/>
          <wp:wrapNone/>
          <wp:docPr id="1776284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4451" name="Picture 5"/>
                  <pic:cNvPicPr/>
                </pic:nvPicPr>
                <pic:blipFill rotWithShape="1">
                  <a:blip r:embed="rId1"/>
                  <a:srcRect l="9451" t="26760" r="9749" b="28209"/>
                  <a:stretch/>
                </pic:blipFill>
                <pic:spPr bwMode="auto">
                  <a:xfrm>
                    <a:off x="0" y="0"/>
                    <a:ext cx="1536700"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3AF6" w14:textId="77777777" w:rsidR="00EB2CB4" w:rsidRPr="00A23F93" w:rsidRDefault="00EB2CB4" w:rsidP="005B67EA">
      <w:r w:rsidRPr="00A23F93">
        <w:separator/>
      </w:r>
    </w:p>
  </w:footnote>
  <w:footnote w:type="continuationSeparator" w:id="0">
    <w:p w14:paraId="070FE0D1" w14:textId="77777777" w:rsidR="00EB2CB4" w:rsidRPr="00A23F93" w:rsidRDefault="00EB2CB4" w:rsidP="00EC4E49">
      <w:r w:rsidRPr="00A23F93">
        <w:continuationSeparator/>
      </w:r>
    </w:p>
    <w:p w14:paraId="0730688D" w14:textId="77777777" w:rsidR="00EB2CB4" w:rsidRPr="00A23F93" w:rsidRDefault="00EB2CB4"/>
  </w:footnote>
  <w:footnote w:type="continuationNotice" w:id="1">
    <w:p w14:paraId="78179526" w14:textId="77777777" w:rsidR="00EB2CB4" w:rsidRPr="00A23F93" w:rsidRDefault="00EB2CB4"/>
    <w:p w14:paraId="3BC1D721" w14:textId="77777777" w:rsidR="00EB2CB4" w:rsidRPr="00A23F93" w:rsidRDefault="00EB2C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42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44B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6285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F6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A1220"/>
    <w:lvl w:ilvl="0">
      <w:start w:val="31"/>
      <w:numFmt w:val="bullet"/>
      <w:pStyle w:val="ListBullet5"/>
      <w:lvlText w:val="–"/>
      <w:lvlJc w:val="left"/>
      <w:pPr>
        <w:ind w:left="1492" w:hanging="360"/>
      </w:pPr>
      <w:rPr>
        <w:rFonts w:ascii="Arial" w:eastAsia="Times New Roman" w:hAnsi="Arial" w:hint="default"/>
      </w:rPr>
    </w:lvl>
  </w:abstractNum>
  <w:abstractNum w:abstractNumId="5" w15:restartNumberingAfterBreak="0">
    <w:nsid w:val="FFFFFF81"/>
    <w:multiLevelType w:val="singleLevel"/>
    <w:tmpl w:val="03A2BA0E"/>
    <w:lvl w:ilvl="0">
      <w:start w:val="31"/>
      <w:numFmt w:val="bullet"/>
      <w:pStyle w:val="ListBullet4"/>
      <w:lvlText w:val="–"/>
      <w:lvlJc w:val="left"/>
      <w:pPr>
        <w:ind w:left="1040" w:hanging="360"/>
      </w:pPr>
      <w:rPr>
        <w:rFonts w:ascii="Arial" w:eastAsia="Times New Roman" w:hAnsi="Arial" w:hint="default"/>
      </w:rPr>
    </w:lvl>
  </w:abstractNum>
  <w:abstractNum w:abstractNumId="6"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7"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8" w15:restartNumberingAfterBreak="0">
    <w:nsid w:val="FFFFFF88"/>
    <w:multiLevelType w:val="singleLevel"/>
    <w:tmpl w:val="B9965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A8F9A2"/>
    <w:lvl w:ilvl="0">
      <w:start w:val="31"/>
      <w:numFmt w:val="bullet"/>
      <w:pStyle w:val="ListBullet"/>
      <w:lvlText w:val="–"/>
      <w:lvlJc w:val="left"/>
      <w:pPr>
        <w:ind w:left="360" w:hanging="360"/>
      </w:pPr>
      <w:rPr>
        <w:rFonts w:ascii="Arial" w:eastAsia="Times New Roman" w:hAnsi="Arial" w:hint="default"/>
      </w:rPr>
    </w:lvl>
  </w:abstractNum>
  <w:abstractNum w:abstractNumId="10" w15:restartNumberingAfterBreak="0">
    <w:nsid w:val="06CC62D2"/>
    <w:multiLevelType w:val="singleLevel"/>
    <w:tmpl w:val="15BC518C"/>
    <w:lvl w:ilvl="0">
      <w:start w:val="1"/>
      <w:numFmt w:val="lowerLetter"/>
      <w:lvlText w:val="%1."/>
      <w:lvlJc w:val="left"/>
      <w:pPr>
        <w:tabs>
          <w:tab w:val="num" w:pos="680"/>
        </w:tabs>
        <w:ind w:left="357" w:hanging="357"/>
      </w:pPr>
      <w:rPr>
        <w:rFonts w:hint="default"/>
      </w:rPr>
    </w:lvl>
  </w:abstractNum>
  <w:abstractNum w:abstractNumId="11" w15:restartNumberingAfterBreak="0">
    <w:nsid w:val="0C0D02E5"/>
    <w:multiLevelType w:val="hybridMultilevel"/>
    <w:tmpl w:val="EB1042F6"/>
    <w:lvl w:ilvl="0" w:tplc="E1AAF8DE">
      <w:start w:val="1"/>
      <w:numFmt w:val="lowerRoman"/>
      <w:pStyle w:val="NumerallistBold"/>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F24AD3"/>
    <w:multiLevelType w:val="multilevel"/>
    <w:tmpl w:val="2EE0A220"/>
    <w:styleLink w:val="b17legalnumberedlist"/>
    <w:lvl w:ilvl="0">
      <w:start w:val="1"/>
      <w:numFmt w:val="decimal"/>
      <w:lvlText w:val="%1."/>
      <w:lvlJc w:val="left"/>
      <w:pPr>
        <w:ind w:left="709" w:hanging="709"/>
      </w:pPr>
      <w:rPr>
        <w:rFonts w:ascii="Noto Sans" w:hAnsi="Noto Sans" w:hint="default"/>
        <w:b/>
        <w:i w:val="0"/>
        <w:sz w:val="19"/>
        <w:u w:color="000000" w:themeColor="text1"/>
      </w:rPr>
    </w:lvl>
    <w:lvl w:ilvl="1">
      <w:start w:val="1"/>
      <w:numFmt w:val="decimal"/>
      <w:lvlText w:val="%1.%2"/>
      <w:lvlJc w:val="left"/>
      <w:pPr>
        <w:ind w:left="709" w:hanging="709"/>
      </w:pPr>
      <w:rPr>
        <w:rFonts w:ascii="Noto Sans" w:hAnsi="Noto Sans" w:hint="default"/>
        <w:b w:val="0"/>
        <w:i w:val="0"/>
        <w:sz w:val="19"/>
        <w:u w:color="000000" w:themeColor="text1"/>
      </w:rPr>
    </w:lvl>
    <w:lvl w:ilvl="2">
      <w:start w:val="1"/>
      <w:numFmt w:val="decimal"/>
      <w:lvlText w:val="%1.%2.%3"/>
      <w:lvlJc w:val="left"/>
      <w:pPr>
        <w:ind w:left="709" w:hanging="709"/>
      </w:pPr>
      <w:rPr>
        <w:rFonts w:ascii="Noto Sans" w:hAnsi="Noto Sans" w:hint="default"/>
        <w:b w:val="0"/>
        <w:i w:val="0"/>
        <w:sz w:val="19"/>
        <w:u w:color="000000" w:themeColor="text1"/>
      </w:rPr>
    </w:lvl>
    <w:lvl w:ilvl="3">
      <w:start w:val="1"/>
      <w:numFmt w:val="decimal"/>
      <w:lvlText w:val="%1.%2.%3.%4."/>
      <w:lvlJc w:val="left"/>
      <w:pPr>
        <w:ind w:left="3515" w:hanging="1247"/>
      </w:pPr>
      <w:rPr>
        <w:rFonts w:hint="default"/>
      </w:rPr>
    </w:lvl>
    <w:lvl w:ilvl="4">
      <w:start w:val="1"/>
      <w:numFmt w:val="decimal"/>
      <w:lvlText w:val="%1.%2.%3.%4.%5."/>
      <w:lvlJc w:val="left"/>
      <w:pPr>
        <w:ind w:left="2693" w:hanging="425"/>
      </w:pPr>
      <w:rPr>
        <w:rFonts w:hint="default"/>
      </w:rPr>
    </w:lvl>
    <w:lvl w:ilvl="5">
      <w:start w:val="1"/>
      <w:numFmt w:val="decimal"/>
      <w:lvlText w:val="%1.%2.%3.%4.%5.%6."/>
      <w:lvlJc w:val="left"/>
      <w:pPr>
        <w:ind w:left="3260" w:hanging="425"/>
      </w:pPr>
      <w:rPr>
        <w:rFonts w:hint="default"/>
      </w:rPr>
    </w:lvl>
    <w:lvl w:ilvl="6">
      <w:start w:val="1"/>
      <w:numFmt w:val="decimal"/>
      <w:lvlText w:val="%1.%2.%3.%4.%5.%6.%7."/>
      <w:lvlJc w:val="left"/>
      <w:pPr>
        <w:ind w:left="3827" w:hanging="425"/>
      </w:pPr>
      <w:rPr>
        <w:rFonts w:hint="default"/>
      </w:rPr>
    </w:lvl>
    <w:lvl w:ilvl="7">
      <w:start w:val="1"/>
      <w:numFmt w:val="decimal"/>
      <w:lvlText w:val="%1.%2.%3.%4.%5.%6.%7.%8."/>
      <w:lvlJc w:val="left"/>
      <w:pPr>
        <w:ind w:left="4394" w:hanging="425"/>
      </w:pPr>
      <w:rPr>
        <w:rFonts w:hint="default"/>
      </w:rPr>
    </w:lvl>
    <w:lvl w:ilvl="8">
      <w:start w:val="1"/>
      <w:numFmt w:val="decimal"/>
      <w:lvlText w:val="%1.%2.%3.%4.%5.%6.%7.%8.%9."/>
      <w:lvlJc w:val="left"/>
      <w:pPr>
        <w:ind w:left="4961" w:hanging="425"/>
      </w:pPr>
      <w:rPr>
        <w:rFonts w:hint="default"/>
      </w:rPr>
    </w:lvl>
  </w:abstractNum>
  <w:abstractNum w:abstractNumId="13" w15:restartNumberingAfterBreak="0">
    <w:nsid w:val="297C26D5"/>
    <w:multiLevelType w:val="singleLevel"/>
    <w:tmpl w:val="72FEDCCA"/>
    <w:lvl w:ilvl="0">
      <w:start w:val="1"/>
      <w:numFmt w:val="decimal"/>
      <w:lvlText w:val="%1."/>
      <w:lvlJc w:val="left"/>
      <w:pPr>
        <w:ind w:left="360" w:hanging="360"/>
      </w:pPr>
      <w:rPr>
        <w:rFonts w:ascii="Noto Sans" w:hAnsi="Noto Sans" w:hint="default"/>
        <w:b/>
        <w:i w:val="0"/>
        <w:sz w:val="20"/>
        <w:szCs w:val="20"/>
      </w:rPr>
    </w:lvl>
  </w:abstractNum>
  <w:abstractNum w:abstractNumId="14" w15:restartNumberingAfterBreak="0">
    <w:nsid w:val="2A023F42"/>
    <w:multiLevelType w:val="hybridMultilevel"/>
    <w:tmpl w:val="4B767612"/>
    <w:lvl w:ilvl="0" w:tplc="27B0E32A">
      <w:start w:val="1"/>
      <w:numFmt w:val="lowerLetter"/>
      <w:pStyle w:val="LetteredlistRegular"/>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96058"/>
    <w:multiLevelType w:val="hybridMultilevel"/>
    <w:tmpl w:val="B702625E"/>
    <w:lvl w:ilvl="0" w:tplc="103C3A56">
      <w:start w:val="1"/>
      <w:numFmt w:val="bullet"/>
      <w:lvlText w:val="–"/>
      <w:lvlJc w:val="left"/>
      <w:pPr>
        <w:tabs>
          <w:tab w:val="num" w:pos="720"/>
        </w:tabs>
        <w:ind w:left="720" w:hanging="360"/>
      </w:pPr>
      <w:rPr>
        <w:rFonts w:ascii="Noto Sans" w:hAnsi="Noto Sans" w:hint="default"/>
      </w:rPr>
    </w:lvl>
    <w:lvl w:ilvl="1" w:tplc="6F92B45E" w:tentative="1">
      <w:start w:val="1"/>
      <w:numFmt w:val="bullet"/>
      <w:lvlText w:val="–"/>
      <w:lvlJc w:val="left"/>
      <w:pPr>
        <w:tabs>
          <w:tab w:val="num" w:pos="1440"/>
        </w:tabs>
        <w:ind w:left="1440" w:hanging="360"/>
      </w:pPr>
      <w:rPr>
        <w:rFonts w:ascii="Noto Sans" w:hAnsi="Noto Sans" w:hint="default"/>
      </w:rPr>
    </w:lvl>
    <w:lvl w:ilvl="2" w:tplc="2926F9E8" w:tentative="1">
      <w:start w:val="1"/>
      <w:numFmt w:val="bullet"/>
      <w:lvlText w:val="–"/>
      <w:lvlJc w:val="left"/>
      <w:pPr>
        <w:tabs>
          <w:tab w:val="num" w:pos="2160"/>
        </w:tabs>
        <w:ind w:left="2160" w:hanging="360"/>
      </w:pPr>
      <w:rPr>
        <w:rFonts w:ascii="Noto Sans" w:hAnsi="Noto Sans" w:hint="default"/>
      </w:rPr>
    </w:lvl>
    <w:lvl w:ilvl="3" w:tplc="D4DE02D8" w:tentative="1">
      <w:start w:val="1"/>
      <w:numFmt w:val="bullet"/>
      <w:lvlText w:val="–"/>
      <w:lvlJc w:val="left"/>
      <w:pPr>
        <w:tabs>
          <w:tab w:val="num" w:pos="2880"/>
        </w:tabs>
        <w:ind w:left="2880" w:hanging="360"/>
      </w:pPr>
      <w:rPr>
        <w:rFonts w:ascii="Noto Sans" w:hAnsi="Noto Sans" w:hint="default"/>
      </w:rPr>
    </w:lvl>
    <w:lvl w:ilvl="4" w:tplc="5EDEE34A" w:tentative="1">
      <w:start w:val="1"/>
      <w:numFmt w:val="bullet"/>
      <w:lvlText w:val="–"/>
      <w:lvlJc w:val="left"/>
      <w:pPr>
        <w:tabs>
          <w:tab w:val="num" w:pos="3600"/>
        </w:tabs>
        <w:ind w:left="3600" w:hanging="360"/>
      </w:pPr>
      <w:rPr>
        <w:rFonts w:ascii="Noto Sans" w:hAnsi="Noto Sans" w:hint="default"/>
      </w:rPr>
    </w:lvl>
    <w:lvl w:ilvl="5" w:tplc="15AA9EF8" w:tentative="1">
      <w:start w:val="1"/>
      <w:numFmt w:val="bullet"/>
      <w:lvlText w:val="–"/>
      <w:lvlJc w:val="left"/>
      <w:pPr>
        <w:tabs>
          <w:tab w:val="num" w:pos="4320"/>
        </w:tabs>
        <w:ind w:left="4320" w:hanging="360"/>
      </w:pPr>
      <w:rPr>
        <w:rFonts w:ascii="Noto Sans" w:hAnsi="Noto Sans" w:hint="default"/>
      </w:rPr>
    </w:lvl>
    <w:lvl w:ilvl="6" w:tplc="13DC1DD0" w:tentative="1">
      <w:start w:val="1"/>
      <w:numFmt w:val="bullet"/>
      <w:lvlText w:val="–"/>
      <w:lvlJc w:val="left"/>
      <w:pPr>
        <w:tabs>
          <w:tab w:val="num" w:pos="5040"/>
        </w:tabs>
        <w:ind w:left="5040" w:hanging="360"/>
      </w:pPr>
      <w:rPr>
        <w:rFonts w:ascii="Noto Sans" w:hAnsi="Noto Sans" w:hint="default"/>
      </w:rPr>
    </w:lvl>
    <w:lvl w:ilvl="7" w:tplc="1E1EAB28" w:tentative="1">
      <w:start w:val="1"/>
      <w:numFmt w:val="bullet"/>
      <w:lvlText w:val="–"/>
      <w:lvlJc w:val="left"/>
      <w:pPr>
        <w:tabs>
          <w:tab w:val="num" w:pos="5760"/>
        </w:tabs>
        <w:ind w:left="5760" w:hanging="360"/>
      </w:pPr>
      <w:rPr>
        <w:rFonts w:ascii="Noto Sans" w:hAnsi="Noto Sans" w:hint="default"/>
      </w:rPr>
    </w:lvl>
    <w:lvl w:ilvl="8" w:tplc="9DFC4278" w:tentative="1">
      <w:start w:val="1"/>
      <w:numFmt w:val="bullet"/>
      <w:lvlText w:val="–"/>
      <w:lvlJc w:val="left"/>
      <w:pPr>
        <w:tabs>
          <w:tab w:val="num" w:pos="6480"/>
        </w:tabs>
        <w:ind w:left="6480" w:hanging="360"/>
      </w:pPr>
      <w:rPr>
        <w:rFonts w:ascii="Noto Sans" w:hAnsi="Noto Sans" w:hint="default"/>
      </w:rPr>
    </w:lvl>
  </w:abstractNum>
  <w:abstractNum w:abstractNumId="16" w15:restartNumberingAfterBreak="0">
    <w:nsid w:val="40EE3C1F"/>
    <w:multiLevelType w:val="hybridMultilevel"/>
    <w:tmpl w:val="E9A4CD40"/>
    <w:lvl w:ilvl="0" w:tplc="95F69FC8">
      <w:start w:val="1"/>
      <w:numFmt w:val="lowerRoman"/>
      <w:pStyle w:val="NumerallistRegular"/>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B2480C"/>
    <w:multiLevelType w:val="singleLevel"/>
    <w:tmpl w:val="1FDCA25A"/>
    <w:lvl w:ilvl="0">
      <w:start w:val="1"/>
      <w:numFmt w:val="bullet"/>
      <w:pStyle w:val="BulletedtextRegular"/>
      <w:lvlText w:val="–"/>
      <w:lvlJc w:val="left"/>
      <w:pPr>
        <w:ind w:left="425" w:hanging="425"/>
      </w:pPr>
      <w:rPr>
        <w:rFonts w:ascii="Arial" w:hAnsi="Arial" w:hint="default"/>
      </w:rPr>
    </w:lvl>
  </w:abstractNum>
  <w:abstractNum w:abstractNumId="18" w15:restartNumberingAfterBreak="0">
    <w:nsid w:val="4B6F2E1C"/>
    <w:multiLevelType w:val="multilevel"/>
    <w:tmpl w:val="7AC43B3A"/>
    <w:lvl w:ilvl="0">
      <w:start w:val="1"/>
      <w:numFmt w:val="decimal"/>
      <w:pStyle w:val="Multilevellist1"/>
      <w:lvlText w:val="%1."/>
      <w:lvlJc w:val="left"/>
      <w:pPr>
        <w:ind w:left="851" w:hanging="851"/>
      </w:pPr>
      <w:rPr>
        <w:rFonts w:hint="default"/>
      </w:rPr>
    </w:lvl>
    <w:lvl w:ilvl="1">
      <w:start w:val="1"/>
      <w:numFmt w:val="decimal"/>
      <w:pStyle w:val="Multilevellistlevel2"/>
      <w:lvlText w:val="%1.%2"/>
      <w:lvlJc w:val="left"/>
      <w:pPr>
        <w:ind w:left="851" w:hanging="851"/>
      </w:pPr>
      <w:rPr>
        <w:rFonts w:hint="default"/>
      </w:rPr>
    </w:lvl>
    <w:lvl w:ilvl="2">
      <w:start w:val="1"/>
      <w:numFmt w:val="decimal"/>
      <w:pStyle w:val="Multilevellistlevel3"/>
      <w:lvlText w:val="%1.%2.%3"/>
      <w:lvlJc w:val="left"/>
      <w:pPr>
        <w:ind w:left="851" w:hanging="851"/>
      </w:pPr>
      <w:rPr>
        <w:rFonts w:hint="default"/>
      </w:rPr>
    </w:lvl>
    <w:lvl w:ilvl="3">
      <w:start w:val="1"/>
      <w:numFmt w:val="decimal"/>
      <w:pStyle w:val="Multilevellistlevel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4D4470B5"/>
    <w:multiLevelType w:val="singleLevel"/>
    <w:tmpl w:val="78028784"/>
    <w:lvl w:ilvl="0">
      <w:start w:val="1"/>
      <w:numFmt w:val="decimal"/>
      <w:pStyle w:val="NumberedlistRegular"/>
      <w:lvlText w:val="%1."/>
      <w:lvlJc w:val="left"/>
      <w:pPr>
        <w:ind w:left="425" w:hanging="425"/>
      </w:pPr>
      <w:rPr>
        <w:rFonts w:hint="default"/>
      </w:rPr>
    </w:lvl>
  </w:abstractNum>
  <w:abstractNum w:abstractNumId="20" w15:restartNumberingAfterBreak="0">
    <w:nsid w:val="51C950BC"/>
    <w:multiLevelType w:val="multilevel"/>
    <w:tmpl w:val="C4044232"/>
    <w:lvl w:ilvl="0">
      <w:start w:val="1"/>
      <w:numFmt w:val="decimal"/>
      <w:lvlText w:val="Section %1"/>
      <w:lvlJc w:val="left"/>
      <w:pPr>
        <w:ind w:left="3828" w:hanging="2126"/>
      </w:pPr>
      <w:rPr>
        <w:rFonts w:hint="default"/>
        <w:color w:val="A446BA" w:themeColor="text2"/>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A217FA"/>
    <w:multiLevelType w:val="multilevel"/>
    <w:tmpl w:val="8DA8E702"/>
    <w:lvl w:ilvl="0">
      <w:start w:val="1"/>
      <w:numFmt w:val="decimal"/>
      <w:lvlText w:val="Appendix %1"/>
      <w:lvlJc w:val="left"/>
      <w:pPr>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807"/>
        </w:tabs>
        <w:ind w:left="2807" w:hanging="680"/>
      </w:pPr>
      <w:rPr>
        <w:rFonts w:hint="default"/>
      </w:rPr>
    </w:lvl>
    <w:lvl w:ilvl="2">
      <w:start w:val="1"/>
      <w:numFmt w:val="decimal"/>
      <w:lvlText w:val="%1.%2.%3"/>
      <w:lvlJc w:val="left"/>
      <w:pPr>
        <w:tabs>
          <w:tab w:val="num" w:pos="3207"/>
        </w:tabs>
        <w:ind w:left="2807" w:hanging="680"/>
      </w:pPr>
      <w:rPr>
        <w:rFonts w:hint="default"/>
      </w:rPr>
    </w:lvl>
    <w:lvl w:ilvl="3">
      <w:start w:val="1"/>
      <w:numFmt w:val="lowerRoman"/>
      <w:lvlText w:val="%4)"/>
      <w:lvlJc w:val="left"/>
      <w:pPr>
        <w:tabs>
          <w:tab w:val="num" w:pos="2694"/>
        </w:tabs>
        <w:ind w:left="2694"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isLgl/>
      <w:suff w:val="nothing"/>
      <w:lvlText w:val=""/>
      <w:lvlJc w:val="left"/>
      <w:pPr>
        <w:ind w:left="2694" w:hanging="567"/>
      </w:pPr>
      <w:rPr>
        <w:rFonts w:hint="default"/>
      </w:rPr>
    </w:lvl>
    <w:lvl w:ilvl="5">
      <w:start w:val="1"/>
      <w:numFmt w:val="decimal"/>
      <w:lvlText w:val="%1.%2.%3.%4.%5.%6"/>
      <w:lvlJc w:val="left"/>
      <w:pPr>
        <w:tabs>
          <w:tab w:val="num" w:pos="3279"/>
        </w:tabs>
        <w:ind w:left="3279" w:hanging="1152"/>
      </w:pPr>
      <w:rPr>
        <w:rFonts w:hint="default"/>
      </w:rPr>
    </w:lvl>
    <w:lvl w:ilvl="6">
      <w:start w:val="1"/>
      <w:numFmt w:val="none"/>
      <w:lvlText w:val=""/>
      <w:lvlJc w:val="left"/>
      <w:pPr>
        <w:tabs>
          <w:tab w:val="num" w:pos="3423"/>
        </w:tabs>
        <w:ind w:left="3423" w:hanging="1296"/>
      </w:pPr>
      <w:rPr>
        <w:rFonts w:hint="default"/>
      </w:rPr>
    </w:lvl>
    <w:lvl w:ilvl="7">
      <w:start w:val="1"/>
      <w:numFmt w:val="decimal"/>
      <w:lvlText w:val="%1.%2.%3.%4.%5.%6.%7.%8"/>
      <w:lvlJc w:val="left"/>
      <w:pPr>
        <w:tabs>
          <w:tab w:val="num" w:pos="3567"/>
        </w:tabs>
        <w:ind w:left="3567" w:hanging="1440"/>
      </w:pPr>
      <w:rPr>
        <w:rFonts w:hint="default"/>
      </w:rPr>
    </w:lvl>
    <w:lvl w:ilvl="8">
      <w:start w:val="1"/>
      <w:numFmt w:val="none"/>
      <w:lvlText w:val=""/>
      <w:lvlJc w:val="left"/>
      <w:pPr>
        <w:tabs>
          <w:tab w:val="num" w:pos="4962"/>
        </w:tabs>
        <w:ind w:left="4962" w:hanging="2835"/>
      </w:pPr>
      <w:rPr>
        <w:rFonts w:hint="default"/>
      </w:rPr>
    </w:lvl>
  </w:abstractNum>
  <w:abstractNum w:abstractNumId="22" w15:restartNumberingAfterBreak="0">
    <w:nsid w:val="715B7BBD"/>
    <w:multiLevelType w:val="hybridMultilevel"/>
    <w:tmpl w:val="5E9635DA"/>
    <w:lvl w:ilvl="0" w:tplc="68BA3B14">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2351C0"/>
    <w:multiLevelType w:val="hybridMultilevel"/>
    <w:tmpl w:val="32EACC82"/>
    <w:lvl w:ilvl="0" w:tplc="2BF6EAD4">
      <w:start w:val="31"/>
      <w:numFmt w:val="bullet"/>
      <w:pStyle w:val="Tabletext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0654F"/>
    <w:multiLevelType w:val="hybridMultilevel"/>
    <w:tmpl w:val="F4CA6970"/>
    <w:lvl w:ilvl="0" w:tplc="6EA07572">
      <w:start w:val="1"/>
      <w:numFmt w:val="bullet"/>
      <w:pStyle w:val="Sub-bulletedtex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01E4B"/>
    <w:multiLevelType w:val="hybridMultilevel"/>
    <w:tmpl w:val="D3C4BBB4"/>
    <w:lvl w:ilvl="0" w:tplc="044E95A2">
      <w:start w:val="1"/>
      <w:numFmt w:val="lowerLetter"/>
      <w:pStyle w:val="LetteredlistBold"/>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000F4"/>
    <w:multiLevelType w:val="hybridMultilevel"/>
    <w:tmpl w:val="5E08C598"/>
    <w:lvl w:ilvl="0" w:tplc="F968B7C2">
      <w:start w:val="1"/>
      <w:numFmt w:val="lowerLetter"/>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806123">
    <w:abstractNumId w:val="9"/>
  </w:num>
  <w:num w:numId="2" w16cid:durableId="1077482466">
    <w:abstractNumId w:val="7"/>
  </w:num>
  <w:num w:numId="3" w16cid:durableId="467404019">
    <w:abstractNumId w:val="6"/>
  </w:num>
  <w:num w:numId="4" w16cid:durableId="404765174">
    <w:abstractNumId w:val="5"/>
  </w:num>
  <w:num w:numId="5" w16cid:durableId="1313488688">
    <w:abstractNumId w:val="4"/>
  </w:num>
  <w:num w:numId="6" w16cid:durableId="100271668">
    <w:abstractNumId w:val="17"/>
  </w:num>
  <w:num w:numId="7" w16cid:durableId="1595939290">
    <w:abstractNumId w:val="19"/>
  </w:num>
  <w:num w:numId="8" w16cid:durableId="1275870892">
    <w:abstractNumId w:val="13"/>
  </w:num>
  <w:num w:numId="9" w16cid:durableId="612178504">
    <w:abstractNumId w:val="16"/>
  </w:num>
  <w:num w:numId="10" w16cid:durableId="536938488">
    <w:abstractNumId w:val="11"/>
  </w:num>
  <w:num w:numId="11" w16cid:durableId="1160923921">
    <w:abstractNumId w:val="14"/>
  </w:num>
  <w:num w:numId="12" w16cid:durableId="117572224">
    <w:abstractNumId w:val="20"/>
  </w:num>
  <w:num w:numId="13" w16cid:durableId="2137329981">
    <w:abstractNumId w:val="25"/>
  </w:num>
  <w:num w:numId="14" w16cid:durableId="1721855778">
    <w:abstractNumId w:val="21"/>
  </w:num>
  <w:num w:numId="15" w16cid:durableId="113908630">
    <w:abstractNumId w:val="13"/>
  </w:num>
  <w:num w:numId="16" w16cid:durableId="2082099280">
    <w:abstractNumId w:val="19"/>
  </w:num>
  <w:num w:numId="17" w16cid:durableId="1407729630">
    <w:abstractNumId w:val="25"/>
  </w:num>
  <w:num w:numId="18" w16cid:durableId="1443497560">
    <w:abstractNumId w:val="14"/>
  </w:num>
  <w:num w:numId="19" w16cid:durableId="1618296394">
    <w:abstractNumId w:val="17"/>
  </w:num>
  <w:num w:numId="20" w16cid:durableId="130561703">
    <w:abstractNumId w:val="11"/>
  </w:num>
  <w:num w:numId="21" w16cid:durableId="1949774972">
    <w:abstractNumId w:val="16"/>
  </w:num>
  <w:num w:numId="22" w16cid:durableId="835729848">
    <w:abstractNumId w:val="20"/>
  </w:num>
  <w:num w:numId="23" w16cid:durableId="392042081">
    <w:abstractNumId w:val="23"/>
  </w:num>
  <w:num w:numId="24" w16cid:durableId="1507281871">
    <w:abstractNumId w:val="17"/>
  </w:num>
  <w:num w:numId="25" w16cid:durableId="1647391129">
    <w:abstractNumId w:val="21"/>
  </w:num>
  <w:num w:numId="26" w16cid:durableId="1342391015">
    <w:abstractNumId w:val="12"/>
  </w:num>
  <w:num w:numId="27" w16cid:durableId="1491756177">
    <w:abstractNumId w:val="24"/>
  </w:num>
  <w:num w:numId="28" w16cid:durableId="172451523">
    <w:abstractNumId w:val="8"/>
  </w:num>
  <w:num w:numId="29" w16cid:durableId="366488392">
    <w:abstractNumId w:val="3"/>
  </w:num>
  <w:num w:numId="30" w16cid:durableId="109328283">
    <w:abstractNumId w:val="2"/>
  </w:num>
  <w:num w:numId="31" w16cid:durableId="285356558">
    <w:abstractNumId w:val="1"/>
  </w:num>
  <w:num w:numId="32" w16cid:durableId="1290042224">
    <w:abstractNumId w:val="0"/>
  </w:num>
  <w:num w:numId="33" w16cid:durableId="4885215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491439">
    <w:abstractNumId w:val="20"/>
  </w:num>
  <w:num w:numId="35" w16cid:durableId="1106388310">
    <w:abstractNumId w:val="18"/>
  </w:num>
  <w:num w:numId="36" w16cid:durableId="1421415432">
    <w:abstractNumId w:val="26"/>
  </w:num>
  <w:num w:numId="37" w16cid:durableId="787742933">
    <w:abstractNumId w:val="20"/>
  </w:num>
  <w:num w:numId="38" w16cid:durableId="737632976">
    <w:abstractNumId w:val="20"/>
  </w:num>
  <w:num w:numId="39" w16cid:durableId="877819785">
    <w:abstractNumId w:val="20"/>
  </w:num>
  <w:num w:numId="40" w16cid:durableId="1016613435">
    <w:abstractNumId w:val="10"/>
    <w:lvlOverride w:ilvl="0">
      <w:startOverride w:val="6"/>
    </w:lvlOverride>
  </w:num>
  <w:num w:numId="41" w16cid:durableId="10571981">
    <w:abstractNumId w:val="22"/>
  </w:num>
  <w:num w:numId="42" w16cid:durableId="673924818">
    <w:abstractNumId w:val="15"/>
  </w:num>
  <w:num w:numId="43" w16cid:durableId="1123620625">
    <w:abstractNumId w:val="23"/>
  </w:num>
  <w:num w:numId="44" w16cid:durableId="2046786535">
    <w:abstractNumId w:val="17"/>
  </w:num>
  <w:num w:numId="45" w16cid:durableId="171137063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56"/>
    <w:rsid w:val="00000BBB"/>
    <w:rsid w:val="000011B2"/>
    <w:rsid w:val="00001AA8"/>
    <w:rsid w:val="000031BF"/>
    <w:rsid w:val="00003573"/>
    <w:rsid w:val="0000375A"/>
    <w:rsid w:val="00003D11"/>
    <w:rsid w:val="000066AB"/>
    <w:rsid w:val="00006AD1"/>
    <w:rsid w:val="00006F11"/>
    <w:rsid w:val="00007046"/>
    <w:rsid w:val="00007F4D"/>
    <w:rsid w:val="000117A5"/>
    <w:rsid w:val="000120F1"/>
    <w:rsid w:val="0001267C"/>
    <w:rsid w:val="00012EB8"/>
    <w:rsid w:val="00013CD9"/>
    <w:rsid w:val="00014018"/>
    <w:rsid w:val="0001403E"/>
    <w:rsid w:val="000155C2"/>
    <w:rsid w:val="00015DFD"/>
    <w:rsid w:val="00016394"/>
    <w:rsid w:val="000172FF"/>
    <w:rsid w:val="00020E55"/>
    <w:rsid w:val="00021024"/>
    <w:rsid w:val="00022C02"/>
    <w:rsid w:val="00025D1A"/>
    <w:rsid w:val="00026731"/>
    <w:rsid w:val="00027A38"/>
    <w:rsid w:val="000311FB"/>
    <w:rsid w:val="00033B6A"/>
    <w:rsid w:val="000345B2"/>
    <w:rsid w:val="00034B4C"/>
    <w:rsid w:val="000374AB"/>
    <w:rsid w:val="00041658"/>
    <w:rsid w:val="0004186D"/>
    <w:rsid w:val="00044619"/>
    <w:rsid w:val="00044F37"/>
    <w:rsid w:val="000470CE"/>
    <w:rsid w:val="0004770C"/>
    <w:rsid w:val="00047D5D"/>
    <w:rsid w:val="00051AFE"/>
    <w:rsid w:val="00052460"/>
    <w:rsid w:val="00053DE4"/>
    <w:rsid w:val="00056072"/>
    <w:rsid w:val="00056D6A"/>
    <w:rsid w:val="00057A42"/>
    <w:rsid w:val="00057BC9"/>
    <w:rsid w:val="00060D93"/>
    <w:rsid w:val="000613AD"/>
    <w:rsid w:val="0006152F"/>
    <w:rsid w:val="00062761"/>
    <w:rsid w:val="00062C8E"/>
    <w:rsid w:val="00062ECD"/>
    <w:rsid w:val="000652FB"/>
    <w:rsid w:val="000658EF"/>
    <w:rsid w:val="0006657D"/>
    <w:rsid w:val="00066BFF"/>
    <w:rsid w:val="00067232"/>
    <w:rsid w:val="00067C96"/>
    <w:rsid w:val="0007333E"/>
    <w:rsid w:val="00073A5C"/>
    <w:rsid w:val="00075001"/>
    <w:rsid w:val="00076530"/>
    <w:rsid w:val="00082D3C"/>
    <w:rsid w:val="0008300B"/>
    <w:rsid w:val="00085242"/>
    <w:rsid w:val="0008623E"/>
    <w:rsid w:val="00086792"/>
    <w:rsid w:val="00086EAB"/>
    <w:rsid w:val="00086EC2"/>
    <w:rsid w:val="00091247"/>
    <w:rsid w:val="00093647"/>
    <w:rsid w:val="000939FD"/>
    <w:rsid w:val="00094952"/>
    <w:rsid w:val="0009796F"/>
    <w:rsid w:val="000A012C"/>
    <w:rsid w:val="000A140C"/>
    <w:rsid w:val="000A3F5A"/>
    <w:rsid w:val="000A41E8"/>
    <w:rsid w:val="000A5750"/>
    <w:rsid w:val="000A71B3"/>
    <w:rsid w:val="000B1056"/>
    <w:rsid w:val="000B33D5"/>
    <w:rsid w:val="000B41B6"/>
    <w:rsid w:val="000B44F7"/>
    <w:rsid w:val="000B5185"/>
    <w:rsid w:val="000B545A"/>
    <w:rsid w:val="000B6560"/>
    <w:rsid w:val="000B6ABA"/>
    <w:rsid w:val="000C09CD"/>
    <w:rsid w:val="000C4793"/>
    <w:rsid w:val="000C4876"/>
    <w:rsid w:val="000C48F1"/>
    <w:rsid w:val="000C5914"/>
    <w:rsid w:val="000C5DFA"/>
    <w:rsid w:val="000C7147"/>
    <w:rsid w:val="000D05B8"/>
    <w:rsid w:val="000D099A"/>
    <w:rsid w:val="000D0CA0"/>
    <w:rsid w:val="000D3B4F"/>
    <w:rsid w:val="000D5417"/>
    <w:rsid w:val="000D5429"/>
    <w:rsid w:val="000D67CD"/>
    <w:rsid w:val="000D7AD1"/>
    <w:rsid w:val="000E0B41"/>
    <w:rsid w:val="000E31CE"/>
    <w:rsid w:val="000E4302"/>
    <w:rsid w:val="000E74C9"/>
    <w:rsid w:val="000E77A1"/>
    <w:rsid w:val="000E7B69"/>
    <w:rsid w:val="000E7BF9"/>
    <w:rsid w:val="000F2A53"/>
    <w:rsid w:val="000F4368"/>
    <w:rsid w:val="000F61FA"/>
    <w:rsid w:val="000F638B"/>
    <w:rsid w:val="00101343"/>
    <w:rsid w:val="0010159F"/>
    <w:rsid w:val="001019D9"/>
    <w:rsid w:val="00102792"/>
    <w:rsid w:val="00103B62"/>
    <w:rsid w:val="00105004"/>
    <w:rsid w:val="001050D4"/>
    <w:rsid w:val="00110C75"/>
    <w:rsid w:val="0011206B"/>
    <w:rsid w:val="00113154"/>
    <w:rsid w:val="00113E2B"/>
    <w:rsid w:val="00115FCA"/>
    <w:rsid w:val="0011709D"/>
    <w:rsid w:val="00117130"/>
    <w:rsid w:val="001175A5"/>
    <w:rsid w:val="001176C9"/>
    <w:rsid w:val="00117814"/>
    <w:rsid w:val="00120A2C"/>
    <w:rsid w:val="00122363"/>
    <w:rsid w:val="0012247B"/>
    <w:rsid w:val="001246F1"/>
    <w:rsid w:val="00124C11"/>
    <w:rsid w:val="00125307"/>
    <w:rsid w:val="00126CA6"/>
    <w:rsid w:val="00127693"/>
    <w:rsid w:val="0013085F"/>
    <w:rsid w:val="00131698"/>
    <w:rsid w:val="00131C6C"/>
    <w:rsid w:val="00131EC2"/>
    <w:rsid w:val="00132535"/>
    <w:rsid w:val="0013257C"/>
    <w:rsid w:val="00133724"/>
    <w:rsid w:val="00133D02"/>
    <w:rsid w:val="00135CDB"/>
    <w:rsid w:val="00136166"/>
    <w:rsid w:val="00136A48"/>
    <w:rsid w:val="00143C0D"/>
    <w:rsid w:val="00144004"/>
    <w:rsid w:val="00147E57"/>
    <w:rsid w:val="00150110"/>
    <w:rsid w:val="00153577"/>
    <w:rsid w:val="0015678D"/>
    <w:rsid w:val="00156A61"/>
    <w:rsid w:val="0015762F"/>
    <w:rsid w:val="00160212"/>
    <w:rsid w:val="00160B89"/>
    <w:rsid w:val="00160E60"/>
    <w:rsid w:val="00165662"/>
    <w:rsid w:val="001658A5"/>
    <w:rsid w:val="00165BAC"/>
    <w:rsid w:val="00165FA4"/>
    <w:rsid w:val="00170529"/>
    <w:rsid w:val="00173380"/>
    <w:rsid w:val="00173927"/>
    <w:rsid w:val="001766BD"/>
    <w:rsid w:val="00176772"/>
    <w:rsid w:val="0017720C"/>
    <w:rsid w:val="00181010"/>
    <w:rsid w:val="00182329"/>
    <w:rsid w:val="0018264A"/>
    <w:rsid w:val="0018273E"/>
    <w:rsid w:val="00184EC9"/>
    <w:rsid w:val="00185669"/>
    <w:rsid w:val="00186DEB"/>
    <w:rsid w:val="00187867"/>
    <w:rsid w:val="00190131"/>
    <w:rsid w:val="00190513"/>
    <w:rsid w:val="001914CC"/>
    <w:rsid w:val="00191907"/>
    <w:rsid w:val="00191AA7"/>
    <w:rsid w:val="0019230D"/>
    <w:rsid w:val="001923FE"/>
    <w:rsid w:val="00194311"/>
    <w:rsid w:val="00194907"/>
    <w:rsid w:val="001950AD"/>
    <w:rsid w:val="001A0473"/>
    <w:rsid w:val="001A1ECF"/>
    <w:rsid w:val="001A2352"/>
    <w:rsid w:val="001A23FC"/>
    <w:rsid w:val="001A2E20"/>
    <w:rsid w:val="001A3924"/>
    <w:rsid w:val="001A3E3C"/>
    <w:rsid w:val="001A4092"/>
    <w:rsid w:val="001A444C"/>
    <w:rsid w:val="001A51FE"/>
    <w:rsid w:val="001B0D5D"/>
    <w:rsid w:val="001B0E2F"/>
    <w:rsid w:val="001B497F"/>
    <w:rsid w:val="001B4A2A"/>
    <w:rsid w:val="001B5D4A"/>
    <w:rsid w:val="001B6FBA"/>
    <w:rsid w:val="001B725E"/>
    <w:rsid w:val="001B784A"/>
    <w:rsid w:val="001C4A7E"/>
    <w:rsid w:val="001C4AC6"/>
    <w:rsid w:val="001C4C02"/>
    <w:rsid w:val="001C5000"/>
    <w:rsid w:val="001C6156"/>
    <w:rsid w:val="001C6E39"/>
    <w:rsid w:val="001C7A41"/>
    <w:rsid w:val="001C7CC1"/>
    <w:rsid w:val="001D05FE"/>
    <w:rsid w:val="001D0876"/>
    <w:rsid w:val="001D1627"/>
    <w:rsid w:val="001D2095"/>
    <w:rsid w:val="001D242A"/>
    <w:rsid w:val="001D2CBE"/>
    <w:rsid w:val="001D3525"/>
    <w:rsid w:val="001D3725"/>
    <w:rsid w:val="001D48B5"/>
    <w:rsid w:val="001D4BB5"/>
    <w:rsid w:val="001D5300"/>
    <w:rsid w:val="001D5665"/>
    <w:rsid w:val="001D56B5"/>
    <w:rsid w:val="001D5CDE"/>
    <w:rsid w:val="001D69C2"/>
    <w:rsid w:val="001E1145"/>
    <w:rsid w:val="001E3265"/>
    <w:rsid w:val="001E3C26"/>
    <w:rsid w:val="001E3E47"/>
    <w:rsid w:val="001E696A"/>
    <w:rsid w:val="001E6E49"/>
    <w:rsid w:val="001F0732"/>
    <w:rsid w:val="001F0BA6"/>
    <w:rsid w:val="001F0D15"/>
    <w:rsid w:val="001F29F0"/>
    <w:rsid w:val="001F35C2"/>
    <w:rsid w:val="001F37FA"/>
    <w:rsid w:val="001F4AC5"/>
    <w:rsid w:val="001F4DB1"/>
    <w:rsid w:val="001F586A"/>
    <w:rsid w:val="001F5A8D"/>
    <w:rsid w:val="001F66A9"/>
    <w:rsid w:val="00200182"/>
    <w:rsid w:val="00202B52"/>
    <w:rsid w:val="002030CE"/>
    <w:rsid w:val="00203BB4"/>
    <w:rsid w:val="002045AD"/>
    <w:rsid w:val="002045CD"/>
    <w:rsid w:val="0020517D"/>
    <w:rsid w:val="0020570E"/>
    <w:rsid w:val="002061AF"/>
    <w:rsid w:val="0020663D"/>
    <w:rsid w:val="002067AE"/>
    <w:rsid w:val="002071E0"/>
    <w:rsid w:val="00207BBE"/>
    <w:rsid w:val="002106ED"/>
    <w:rsid w:val="0021118F"/>
    <w:rsid w:val="0021191F"/>
    <w:rsid w:val="00212B0E"/>
    <w:rsid w:val="00212FED"/>
    <w:rsid w:val="00214BF6"/>
    <w:rsid w:val="00215B52"/>
    <w:rsid w:val="00217499"/>
    <w:rsid w:val="002207B2"/>
    <w:rsid w:val="00224392"/>
    <w:rsid w:val="002259E5"/>
    <w:rsid w:val="00226117"/>
    <w:rsid w:val="00230355"/>
    <w:rsid w:val="00232B2C"/>
    <w:rsid w:val="0023392D"/>
    <w:rsid w:val="00234370"/>
    <w:rsid w:val="002345DF"/>
    <w:rsid w:val="0023509A"/>
    <w:rsid w:val="00236053"/>
    <w:rsid w:val="002360B9"/>
    <w:rsid w:val="00236136"/>
    <w:rsid w:val="0023654B"/>
    <w:rsid w:val="00236BD4"/>
    <w:rsid w:val="00237B40"/>
    <w:rsid w:val="002422D1"/>
    <w:rsid w:val="00242A67"/>
    <w:rsid w:val="00243BAE"/>
    <w:rsid w:val="00244A21"/>
    <w:rsid w:val="0024617D"/>
    <w:rsid w:val="00247837"/>
    <w:rsid w:val="00250EED"/>
    <w:rsid w:val="0025123E"/>
    <w:rsid w:val="00251481"/>
    <w:rsid w:val="00251540"/>
    <w:rsid w:val="00251C1B"/>
    <w:rsid w:val="002541D8"/>
    <w:rsid w:val="00255BD1"/>
    <w:rsid w:val="00260CCF"/>
    <w:rsid w:val="002613D5"/>
    <w:rsid w:val="00261A9F"/>
    <w:rsid w:val="00261D48"/>
    <w:rsid w:val="00261FA2"/>
    <w:rsid w:val="00262EBB"/>
    <w:rsid w:val="00263CDD"/>
    <w:rsid w:val="002644A8"/>
    <w:rsid w:val="002652C6"/>
    <w:rsid w:val="002658D6"/>
    <w:rsid w:val="002675CD"/>
    <w:rsid w:val="00270854"/>
    <w:rsid w:val="00270FF9"/>
    <w:rsid w:val="00273856"/>
    <w:rsid w:val="00274546"/>
    <w:rsid w:val="002745E6"/>
    <w:rsid w:val="00274F9F"/>
    <w:rsid w:val="00275704"/>
    <w:rsid w:val="00280CA6"/>
    <w:rsid w:val="00281D5F"/>
    <w:rsid w:val="00282DE8"/>
    <w:rsid w:val="00283010"/>
    <w:rsid w:val="00285D8B"/>
    <w:rsid w:val="00286B89"/>
    <w:rsid w:val="00287C01"/>
    <w:rsid w:val="002904BF"/>
    <w:rsid w:val="00291EFC"/>
    <w:rsid w:val="00291FBC"/>
    <w:rsid w:val="00292E26"/>
    <w:rsid w:val="0029401F"/>
    <w:rsid w:val="002947AF"/>
    <w:rsid w:val="00294A48"/>
    <w:rsid w:val="00295A2D"/>
    <w:rsid w:val="00295E7B"/>
    <w:rsid w:val="00297003"/>
    <w:rsid w:val="002A07EE"/>
    <w:rsid w:val="002A0A80"/>
    <w:rsid w:val="002A1B97"/>
    <w:rsid w:val="002A3AD0"/>
    <w:rsid w:val="002A5578"/>
    <w:rsid w:val="002A5ACE"/>
    <w:rsid w:val="002A67D8"/>
    <w:rsid w:val="002A6F3F"/>
    <w:rsid w:val="002A73C3"/>
    <w:rsid w:val="002A7782"/>
    <w:rsid w:val="002A7A47"/>
    <w:rsid w:val="002B0A37"/>
    <w:rsid w:val="002B169E"/>
    <w:rsid w:val="002B1C49"/>
    <w:rsid w:val="002B6056"/>
    <w:rsid w:val="002B6112"/>
    <w:rsid w:val="002B7035"/>
    <w:rsid w:val="002C0DB8"/>
    <w:rsid w:val="002C0E0D"/>
    <w:rsid w:val="002C1CCF"/>
    <w:rsid w:val="002C3C9B"/>
    <w:rsid w:val="002C423C"/>
    <w:rsid w:val="002C6C02"/>
    <w:rsid w:val="002C78EC"/>
    <w:rsid w:val="002D4176"/>
    <w:rsid w:val="002D432F"/>
    <w:rsid w:val="002D5EE2"/>
    <w:rsid w:val="002D5FC4"/>
    <w:rsid w:val="002D6067"/>
    <w:rsid w:val="002D64AE"/>
    <w:rsid w:val="002D67BD"/>
    <w:rsid w:val="002D7184"/>
    <w:rsid w:val="002E1BA6"/>
    <w:rsid w:val="002E1BEB"/>
    <w:rsid w:val="002E3BFE"/>
    <w:rsid w:val="002E3FA7"/>
    <w:rsid w:val="002E4284"/>
    <w:rsid w:val="002E466D"/>
    <w:rsid w:val="002E5BED"/>
    <w:rsid w:val="002E6C9E"/>
    <w:rsid w:val="002F060A"/>
    <w:rsid w:val="002F09A9"/>
    <w:rsid w:val="002F0B30"/>
    <w:rsid w:val="002F12FD"/>
    <w:rsid w:val="002F2A65"/>
    <w:rsid w:val="002F4DA3"/>
    <w:rsid w:val="002F4F12"/>
    <w:rsid w:val="002F74D8"/>
    <w:rsid w:val="002F7A2F"/>
    <w:rsid w:val="002F7A5A"/>
    <w:rsid w:val="002F7E41"/>
    <w:rsid w:val="00300E37"/>
    <w:rsid w:val="003021A1"/>
    <w:rsid w:val="00302C26"/>
    <w:rsid w:val="003032C4"/>
    <w:rsid w:val="00303BAA"/>
    <w:rsid w:val="0030460B"/>
    <w:rsid w:val="00304679"/>
    <w:rsid w:val="00306036"/>
    <w:rsid w:val="00306AB3"/>
    <w:rsid w:val="00310254"/>
    <w:rsid w:val="00310608"/>
    <w:rsid w:val="00310D63"/>
    <w:rsid w:val="00310EDC"/>
    <w:rsid w:val="00312933"/>
    <w:rsid w:val="00313713"/>
    <w:rsid w:val="003148F6"/>
    <w:rsid w:val="0031512C"/>
    <w:rsid w:val="003155DE"/>
    <w:rsid w:val="003164BD"/>
    <w:rsid w:val="0031660A"/>
    <w:rsid w:val="00322E5F"/>
    <w:rsid w:val="00323CCF"/>
    <w:rsid w:val="0032581F"/>
    <w:rsid w:val="00326AC1"/>
    <w:rsid w:val="0032766B"/>
    <w:rsid w:val="0032796C"/>
    <w:rsid w:val="0033001E"/>
    <w:rsid w:val="00330C4F"/>
    <w:rsid w:val="00330ECD"/>
    <w:rsid w:val="00334352"/>
    <w:rsid w:val="003347E0"/>
    <w:rsid w:val="00337330"/>
    <w:rsid w:val="00340CF9"/>
    <w:rsid w:val="00340E01"/>
    <w:rsid w:val="00341E33"/>
    <w:rsid w:val="00342100"/>
    <w:rsid w:val="003452FA"/>
    <w:rsid w:val="00346D16"/>
    <w:rsid w:val="00347A94"/>
    <w:rsid w:val="003510B0"/>
    <w:rsid w:val="0035142B"/>
    <w:rsid w:val="00351CEF"/>
    <w:rsid w:val="00351F41"/>
    <w:rsid w:val="00351FF8"/>
    <w:rsid w:val="00352146"/>
    <w:rsid w:val="00353C0D"/>
    <w:rsid w:val="00353EEA"/>
    <w:rsid w:val="00354C92"/>
    <w:rsid w:val="00356434"/>
    <w:rsid w:val="003565B4"/>
    <w:rsid w:val="003617E1"/>
    <w:rsid w:val="00361A28"/>
    <w:rsid w:val="00361D1C"/>
    <w:rsid w:val="00363985"/>
    <w:rsid w:val="00364F46"/>
    <w:rsid w:val="00365A78"/>
    <w:rsid w:val="00366130"/>
    <w:rsid w:val="00366B68"/>
    <w:rsid w:val="00366DE0"/>
    <w:rsid w:val="00367B4F"/>
    <w:rsid w:val="00370140"/>
    <w:rsid w:val="0037076D"/>
    <w:rsid w:val="003711E2"/>
    <w:rsid w:val="00375A81"/>
    <w:rsid w:val="00376F3A"/>
    <w:rsid w:val="00377341"/>
    <w:rsid w:val="00377686"/>
    <w:rsid w:val="003817CA"/>
    <w:rsid w:val="00381830"/>
    <w:rsid w:val="00382A9B"/>
    <w:rsid w:val="00384AD6"/>
    <w:rsid w:val="003862D3"/>
    <w:rsid w:val="003911E6"/>
    <w:rsid w:val="003927E8"/>
    <w:rsid w:val="00394249"/>
    <w:rsid w:val="00394D04"/>
    <w:rsid w:val="00396EEB"/>
    <w:rsid w:val="003974C7"/>
    <w:rsid w:val="0039752B"/>
    <w:rsid w:val="003A0C38"/>
    <w:rsid w:val="003A20D4"/>
    <w:rsid w:val="003A3E32"/>
    <w:rsid w:val="003A3FE4"/>
    <w:rsid w:val="003A40B7"/>
    <w:rsid w:val="003A446D"/>
    <w:rsid w:val="003A53D5"/>
    <w:rsid w:val="003A6D9D"/>
    <w:rsid w:val="003A7D83"/>
    <w:rsid w:val="003B00BA"/>
    <w:rsid w:val="003B0978"/>
    <w:rsid w:val="003B2277"/>
    <w:rsid w:val="003B2448"/>
    <w:rsid w:val="003B352A"/>
    <w:rsid w:val="003B37CC"/>
    <w:rsid w:val="003B50FB"/>
    <w:rsid w:val="003B52D9"/>
    <w:rsid w:val="003B6E42"/>
    <w:rsid w:val="003B7AD2"/>
    <w:rsid w:val="003C065C"/>
    <w:rsid w:val="003C37ED"/>
    <w:rsid w:val="003C3F7A"/>
    <w:rsid w:val="003C46CE"/>
    <w:rsid w:val="003C4F9F"/>
    <w:rsid w:val="003C7254"/>
    <w:rsid w:val="003C7E4C"/>
    <w:rsid w:val="003D14FB"/>
    <w:rsid w:val="003D2CB5"/>
    <w:rsid w:val="003D2F05"/>
    <w:rsid w:val="003D43A5"/>
    <w:rsid w:val="003D48F0"/>
    <w:rsid w:val="003D5D0E"/>
    <w:rsid w:val="003D7212"/>
    <w:rsid w:val="003E06EE"/>
    <w:rsid w:val="003E0A82"/>
    <w:rsid w:val="003E1380"/>
    <w:rsid w:val="003E2B2A"/>
    <w:rsid w:val="003E323D"/>
    <w:rsid w:val="003E45EC"/>
    <w:rsid w:val="003E5316"/>
    <w:rsid w:val="003E56A5"/>
    <w:rsid w:val="003F0B25"/>
    <w:rsid w:val="003F1A9B"/>
    <w:rsid w:val="003F1ABE"/>
    <w:rsid w:val="003F25ED"/>
    <w:rsid w:val="003F405E"/>
    <w:rsid w:val="003F4E45"/>
    <w:rsid w:val="003F6499"/>
    <w:rsid w:val="0040156E"/>
    <w:rsid w:val="0040443A"/>
    <w:rsid w:val="00405DA7"/>
    <w:rsid w:val="0040615F"/>
    <w:rsid w:val="00407890"/>
    <w:rsid w:val="00407D1A"/>
    <w:rsid w:val="004100B8"/>
    <w:rsid w:val="004115DF"/>
    <w:rsid w:val="00412401"/>
    <w:rsid w:val="004133D0"/>
    <w:rsid w:val="00413AF5"/>
    <w:rsid w:val="00413B9F"/>
    <w:rsid w:val="00413DA9"/>
    <w:rsid w:val="00416889"/>
    <w:rsid w:val="004177C8"/>
    <w:rsid w:val="0041794C"/>
    <w:rsid w:val="00422A46"/>
    <w:rsid w:val="0042320E"/>
    <w:rsid w:val="00423642"/>
    <w:rsid w:val="004251C1"/>
    <w:rsid w:val="0042739D"/>
    <w:rsid w:val="00427800"/>
    <w:rsid w:val="00427BCC"/>
    <w:rsid w:val="0043145B"/>
    <w:rsid w:val="00432580"/>
    <w:rsid w:val="00433FCA"/>
    <w:rsid w:val="0043538C"/>
    <w:rsid w:val="00435A0E"/>
    <w:rsid w:val="00435FF3"/>
    <w:rsid w:val="00443C1A"/>
    <w:rsid w:val="00443FAB"/>
    <w:rsid w:val="004446F0"/>
    <w:rsid w:val="0044478A"/>
    <w:rsid w:val="004448D5"/>
    <w:rsid w:val="00444DA7"/>
    <w:rsid w:val="00445663"/>
    <w:rsid w:val="0044611F"/>
    <w:rsid w:val="0044612A"/>
    <w:rsid w:val="00446F6F"/>
    <w:rsid w:val="00451346"/>
    <w:rsid w:val="00451A84"/>
    <w:rsid w:val="00453DFC"/>
    <w:rsid w:val="004551B7"/>
    <w:rsid w:val="00455435"/>
    <w:rsid w:val="00456415"/>
    <w:rsid w:val="004569C9"/>
    <w:rsid w:val="0045715A"/>
    <w:rsid w:val="004622D1"/>
    <w:rsid w:val="00463AC1"/>
    <w:rsid w:val="0046623B"/>
    <w:rsid w:val="0046649D"/>
    <w:rsid w:val="004673B1"/>
    <w:rsid w:val="0047003D"/>
    <w:rsid w:val="0047034D"/>
    <w:rsid w:val="00470B35"/>
    <w:rsid w:val="004712F2"/>
    <w:rsid w:val="00471939"/>
    <w:rsid w:val="00473CC3"/>
    <w:rsid w:val="00473F3E"/>
    <w:rsid w:val="00474F85"/>
    <w:rsid w:val="00476859"/>
    <w:rsid w:val="004807FD"/>
    <w:rsid w:val="00480AAA"/>
    <w:rsid w:val="00481E15"/>
    <w:rsid w:val="00485F32"/>
    <w:rsid w:val="004871BA"/>
    <w:rsid w:val="00491C31"/>
    <w:rsid w:val="0049385B"/>
    <w:rsid w:val="00494198"/>
    <w:rsid w:val="0049474E"/>
    <w:rsid w:val="004948DA"/>
    <w:rsid w:val="004955C8"/>
    <w:rsid w:val="004974DE"/>
    <w:rsid w:val="004977F0"/>
    <w:rsid w:val="004A00AA"/>
    <w:rsid w:val="004A2662"/>
    <w:rsid w:val="004A67AA"/>
    <w:rsid w:val="004A6834"/>
    <w:rsid w:val="004B1226"/>
    <w:rsid w:val="004B143B"/>
    <w:rsid w:val="004B1676"/>
    <w:rsid w:val="004B3749"/>
    <w:rsid w:val="004B375F"/>
    <w:rsid w:val="004C1E60"/>
    <w:rsid w:val="004C4B9D"/>
    <w:rsid w:val="004C4C33"/>
    <w:rsid w:val="004D05CE"/>
    <w:rsid w:val="004D14FE"/>
    <w:rsid w:val="004D2334"/>
    <w:rsid w:val="004D385C"/>
    <w:rsid w:val="004E32DC"/>
    <w:rsid w:val="004E4F03"/>
    <w:rsid w:val="004E59AB"/>
    <w:rsid w:val="004E6F9A"/>
    <w:rsid w:val="004E720C"/>
    <w:rsid w:val="004F107E"/>
    <w:rsid w:val="004F2310"/>
    <w:rsid w:val="004F27AE"/>
    <w:rsid w:val="004F3396"/>
    <w:rsid w:val="004F3462"/>
    <w:rsid w:val="004F3C71"/>
    <w:rsid w:val="004F4526"/>
    <w:rsid w:val="004F6427"/>
    <w:rsid w:val="004F6F5D"/>
    <w:rsid w:val="004F789D"/>
    <w:rsid w:val="00501848"/>
    <w:rsid w:val="00501DC3"/>
    <w:rsid w:val="0050337D"/>
    <w:rsid w:val="00503F3F"/>
    <w:rsid w:val="0050420A"/>
    <w:rsid w:val="00505BB8"/>
    <w:rsid w:val="005062D4"/>
    <w:rsid w:val="005071A1"/>
    <w:rsid w:val="005076C4"/>
    <w:rsid w:val="005126D5"/>
    <w:rsid w:val="00514378"/>
    <w:rsid w:val="00514984"/>
    <w:rsid w:val="005174BE"/>
    <w:rsid w:val="00521549"/>
    <w:rsid w:val="00521F4F"/>
    <w:rsid w:val="005234AF"/>
    <w:rsid w:val="0052404E"/>
    <w:rsid w:val="005245EE"/>
    <w:rsid w:val="0052461F"/>
    <w:rsid w:val="005279E3"/>
    <w:rsid w:val="00530359"/>
    <w:rsid w:val="00531213"/>
    <w:rsid w:val="005324B8"/>
    <w:rsid w:val="00533297"/>
    <w:rsid w:val="005348FB"/>
    <w:rsid w:val="00535651"/>
    <w:rsid w:val="00535994"/>
    <w:rsid w:val="00535FD1"/>
    <w:rsid w:val="005366B0"/>
    <w:rsid w:val="005374AD"/>
    <w:rsid w:val="0053778E"/>
    <w:rsid w:val="00540DC6"/>
    <w:rsid w:val="00542D8E"/>
    <w:rsid w:val="00543888"/>
    <w:rsid w:val="005439D4"/>
    <w:rsid w:val="00543CFC"/>
    <w:rsid w:val="005464F6"/>
    <w:rsid w:val="00546540"/>
    <w:rsid w:val="0054759A"/>
    <w:rsid w:val="00550DC0"/>
    <w:rsid w:val="0055247C"/>
    <w:rsid w:val="00552B1C"/>
    <w:rsid w:val="005535B6"/>
    <w:rsid w:val="0055393B"/>
    <w:rsid w:val="00553AA1"/>
    <w:rsid w:val="0055431D"/>
    <w:rsid w:val="005546BE"/>
    <w:rsid w:val="00556B02"/>
    <w:rsid w:val="00557AA4"/>
    <w:rsid w:val="005620C1"/>
    <w:rsid w:val="0056289A"/>
    <w:rsid w:val="005643B1"/>
    <w:rsid w:val="00566C84"/>
    <w:rsid w:val="00566E04"/>
    <w:rsid w:val="005671CF"/>
    <w:rsid w:val="00571260"/>
    <w:rsid w:val="005726E2"/>
    <w:rsid w:val="00572C78"/>
    <w:rsid w:val="005730E2"/>
    <w:rsid w:val="005735B5"/>
    <w:rsid w:val="00573E6C"/>
    <w:rsid w:val="005740BC"/>
    <w:rsid w:val="00574DA7"/>
    <w:rsid w:val="00574FC8"/>
    <w:rsid w:val="00576E76"/>
    <w:rsid w:val="00577226"/>
    <w:rsid w:val="0057770F"/>
    <w:rsid w:val="00577762"/>
    <w:rsid w:val="0058124A"/>
    <w:rsid w:val="005814AE"/>
    <w:rsid w:val="005842C2"/>
    <w:rsid w:val="005844EE"/>
    <w:rsid w:val="005861F6"/>
    <w:rsid w:val="005868B3"/>
    <w:rsid w:val="005874A8"/>
    <w:rsid w:val="00590BE3"/>
    <w:rsid w:val="0059103B"/>
    <w:rsid w:val="005914B3"/>
    <w:rsid w:val="00592184"/>
    <w:rsid w:val="00594CE9"/>
    <w:rsid w:val="005958E2"/>
    <w:rsid w:val="0059592F"/>
    <w:rsid w:val="00595B72"/>
    <w:rsid w:val="005969EA"/>
    <w:rsid w:val="00596AF4"/>
    <w:rsid w:val="005A1002"/>
    <w:rsid w:val="005A1AC5"/>
    <w:rsid w:val="005A2E6C"/>
    <w:rsid w:val="005A4B5A"/>
    <w:rsid w:val="005A4D23"/>
    <w:rsid w:val="005A7F7A"/>
    <w:rsid w:val="005A7F9A"/>
    <w:rsid w:val="005B0158"/>
    <w:rsid w:val="005B03FD"/>
    <w:rsid w:val="005B11F1"/>
    <w:rsid w:val="005B1449"/>
    <w:rsid w:val="005B1D0F"/>
    <w:rsid w:val="005B2A9E"/>
    <w:rsid w:val="005B4438"/>
    <w:rsid w:val="005B45E5"/>
    <w:rsid w:val="005B4655"/>
    <w:rsid w:val="005B641C"/>
    <w:rsid w:val="005B67EA"/>
    <w:rsid w:val="005B6939"/>
    <w:rsid w:val="005C0F02"/>
    <w:rsid w:val="005C1693"/>
    <w:rsid w:val="005C3571"/>
    <w:rsid w:val="005C5FDA"/>
    <w:rsid w:val="005C664A"/>
    <w:rsid w:val="005C7609"/>
    <w:rsid w:val="005D25D7"/>
    <w:rsid w:val="005D3959"/>
    <w:rsid w:val="005D3BF3"/>
    <w:rsid w:val="005D493B"/>
    <w:rsid w:val="005D4B12"/>
    <w:rsid w:val="005D59C3"/>
    <w:rsid w:val="005D5BA7"/>
    <w:rsid w:val="005E0440"/>
    <w:rsid w:val="005E05B9"/>
    <w:rsid w:val="005E0B91"/>
    <w:rsid w:val="005E3FBD"/>
    <w:rsid w:val="005E4314"/>
    <w:rsid w:val="005E7D66"/>
    <w:rsid w:val="005F087C"/>
    <w:rsid w:val="005F0E66"/>
    <w:rsid w:val="005F2731"/>
    <w:rsid w:val="005F2DF4"/>
    <w:rsid w:val="005F39F0"/>
    <w:rsid w:val="005F3A44"/>
    <w:rsid w:val="005F4CBA"/>
    <w:rsid w:val="005F4DBF"/>
    <w:rsid w:val="005F500B"/>
    <w:rsid w:val="005F5CA8"/>
    <w:rsid w:val="005F6652"/>
    <w:rsid w:val="005F7CFF"/>
    <w:rsid w:val="005F7F3D"/>
    <w:rsid w:val="00603B66"/>
    <w:rsid w:val="006040EA"/>
    <w:rsid w:val="006048DA"/>
    <w:rsid w:val="0060493B"/>
    <w:rsid w:val="00610241"/>
    <w:rsid w:val="00611151"/>
    <w:rsid w:val="006139C9"/>
    <w:rsid w:val="00617938"/>
    <w:rsid w:val="00617C98"/>
    <w:rsid w:val="00620414"/>
    <w:rsid w:val="0062114D"/>
    <w:rsid w:val="006240C3"/>
    <w:rsid w:val="0062582E"/>
    <w:rsid w:val="00626240"/>
    <w:rsid w:val="006265DD"/>
    <w:rsid w:val="00626DB0"/>
    <w:rsid w:val="00627298"/>
    <w:rsid w:val="00627A32"/>
    <w:rsid w:val="0063085E"/>
    <w:rsid w:val="00630E6F"/>
    <w:rsid w:val="00631676"/>
    <w:rsid w:val="006321F1"/>
    <w:rsid w:val="006323D9"/>
    <w:rsid w:val="00634810"/>
    <w:rsid w:val="006350E9"/>
    <w:rsid w:val="00636DBC"/>
    <w:rsid w:val="00636F65"/>
    <w:rsid w:val="0063768B"/>
    <w:rsid w:val="00637B42"/>
    <w:rsid w:val="00637EBC"/>
    <w:rsid w:val="00640D21"/>
    <w:rsid w:val="00641482"/>
    <w:rsid w:val="00641CF6"/>
    <w:rsid w:val="00642BAB"/>
    <w:rsid w:val="00644F77"/>
    <w:rsid w:val="00646448"/>
    <w:rsid w:val="00646571"/>
    <w:rsid w:val="00646854"/>
    <w:rsid w:val="006505FC"/>
    <w:rsid w:val="00650BE3"/>
    <w:rsid w:val="00651E88"/>
    <w:rsid w:val="006524EB"/>
    <w:rsid w:val="00652F60"/>
    <w:rsid w:val="00654BA1"/>
    <w:rsid w:val="0065793A"/>
    <w:rsid w:val="006608F0"/>
    <w:rsid w:val="00661505"/>
    <w:rsid w:val="006615EC"/>
    <w:rsid w:val="00661F14"/>
    <w:rsid w:val="006621DD"/>
    <w:rsid w:val="00662F2C"/>
    <w:rsid w:val="006634DB"/>
    <w:rsid w:val="00664470"/>
    <w:rsid w:val="00666F49"/>
    <w:rsid w:val="00667E95"/>
    <w:rsid w:val="006707C9"/>
    <w:rsid w:val="00671347"/>
    <w:rsid w:val="00672110"/>
    <w:rsid w:val="00672B1D"/>
    <w:rsid w:val="006762A6"/>
    <w:rsid w:val="00676723"/>
    <w:rsid w:val="0068074A"/>
    <w:rsid w:val="00680AA3"/>
    <w:rsid w:val="00683B1E"/>
    <w:rsid w:val="0068597C"/>
    <w:rsid w:val="0068750F"/>
    <w:rsid w:val="00687A64"/>
    <w:rsid w:val="006906B5"/>
    <w:rsid w:val="00691A2A"/>
    <w:rsid w:val="00691B79"/>
    <w:rsid w:val="00691DC6"/>
    <w:rsid w:val="00694034"/>
    <w:rsid w:val="00695132"/>
    <w:rsid w:val="00696387"/>
    <w:rsid w:val="0069712B"/>
    <w:rsid w:val="0069775F"/>
    <w:rsid w:val="00697D5C"/>
    <w:rsid w:val="006A6AA6"/>
    <w:rsid w:val="006A7E51"/>
    <w:rsid w:val="006A7E87"/>
    <w:rsid w:val="006B1034"/>
    <w:rsid w:val="006B1328"/>
    <w:rsid w:val="006B2A9F"/>
    <w:rsid w:val="006B3A65"/>
    <w:rsid w:val="006B3B46"/>
    <w:rsid w:val="006B4E07"/>
    <w:rsid w:val="006B57C8"/>
    <w:rsid w:val="006B6710"/>
    <w:rsid w:val="006B7195"/>
    <w:rsid w:val="006B7C04"/>
    <w:rsid w:val="006C10EB"/>
    <w:rsid w:val="006C2BB6"/>
    <w:rsid w:val="006C489D"/>
    <w:rsid w:val="006C496B"/>
    <w:rsid w:val="006C6C19"/>
    <w:rsid w:val="006C6CBC"/>
    <w:rsid w:val="006C735F"/>
    <w:rsid w:val="006D0BAB"/>
    <w:rsid w:val="006D173E"/>
    <w:rsid w:val="006D20EB"/>
    <w:rsid w:val="006D2207"/>
    <w:rsid w:val="006D31C5"/>
    <w:rsid w:val="006D3288"/>
    <w:rsid w:val="006D4B11"/>
    <w:rsid w:val="006D5D29"/>
    <w:rsid w:val="006D5F7E"/>
    <w:rsid w:val="006D7316"/>
    <w:rsid w:val="006D73D3"/>
    <w:rsid w:val="006D7E78"/>
    <w:rsid w:val="006E27D7"/>
    <w:rsid w:val="006E2B1F"/>
    <w:rsid w:val="006E5A6D"/>
    <w:rsid w:val="006E6147"/>
    <w:rsid w:val="006F0F99"/>
    <w:rsid w:val="006F2330"/>
    <w:rsid w:val="006F34C8"/>
    <w:rsid w:val="006F3CAA"/>
    <w:rsid w:val="006F41CC"/>
    <w:rsid w:val="006F57C3"/>
    <w:rsid w:val="006F590A"/>
    <w:rsid w:val="006F5CD9"/>
    <w:rsid w:val="006F6A68"/>
    <w:rsid w:val="006F6E31"/>
    <w:rsid w:val="006F71F5"/>
    <w:rsid w:val="00700CA4"/>
    <w:rsid w:val="007024AE"/>
    <w:rsid w:val="00702FCF"/>
    <w:rsid w:val="00703823"/>
    <w:rsid w:val="0070420E"/>
    <w:rsid w:val="00704431"/>
    <w:rsid w:val="00706971"/>
    <w:rsid w:val="00707C44"/>
    <w:rsid w:val="00710887"/>
    <w:rsid w:val="00712337"/>
    <w:rsid w:val="00712E65"/>
    <w:rsid w:val="00713B89"/>
    <w:rsid w:val="0071483A"/>
    <w:rsid w:val="00715694"/>
    <w:rsid w:val="00716D6C"/>
    <w:rsid w:val="00717834"/>
    <w:rsid w:val="007218AB"/>
    <w:rsid w:val="00722A4D"/>
    <w:rsid w:val="007235E9"/>
    <w:rsid w:val="00724BD4"/>
    <w:rsid w:val="00724E01"/>
    <w:rsid w:val="007263C8"/>
    <w:rsid w:val="00727041"/>
    <w:rsid w:val="007308C8"/>
    <w:rsid w:val="00731FC9"/>
    <w:rsid w:val="007325F1"/>
    <w:rsid w:val="0073284C"/>
    <w:rsid w:val="0073483F"/>
    <w:rsid w:val="00735228"/>
    <w:rsid w:val="007361E1"/>
    <w:rsid w:val="0073730E"/>
    <w:rsid w:val="00740F57"/>
    <w:rsid w:val="0074374B"/>
    <w:rsid w:val="00744990"/>
    <w:rsid w:val="00745893"/>
    <w:rsid w:val="00745DE0"/>
    <w:rsid w:val="00746335"/>
    <w:rsid w:val="007463F9"/>
    <w:rsid w:val="00746845"/>
    <w:rsid w:val="00751579"/>
    <w:rsid w:val="00753011"/>
    <w:rsid w:val="007531FD"/>
    <w:rsid w:val="00754699"/>
    <w:rsid w:val="00754942"/>
    <w:rsid w:val="00754EBF"/>
    <w:rsid w:val="00755B42"/>
    <w:rsid w:val="00755F37"/>
    <w:rsid w:val="00756D59"/>
    <w:rsid w:val="00757259"/>
    <w:rsid w:val="0076083C"/>
    <w:rsid w:val="00760F63"/>
    <w:rsid w:val="007612C8"/>
    <w:rsid w:val="00761BE9"/>
    <w:rsid w:val="00762489"/>
    <w:rsid w:val="0076391F"/>
    <w:rsid w:val="00765F25"/>
    <w:rsid w:val="00767239"/>
    <w:rsid w:val="00770A33"/>
    <w:rsid w:val="00770CFE"/>
    <w:rsid w:val="00770D87"/>
    <w:rsid w:val="00771286"/>
    <w:rsid w:val="007761FC"/>
    <w:rsid w:val="0077653F"/>
    <w:rsid w:val="00780734"/>
    <w:rsid w:val="007807F1"/>
    <w:rsid w:val="007811D0"/>
    <w:rsid w:val="0078174E"/>
    <w:rsid w:val="00781FD6"/>
    <w:rsid w:val="00783798"/>
    <w:rsid w:val="00784235"/>
    <w:rsid w:val="00785C58"/>
    <w:rsid w:val="007869B0"/>
    <w:rsid w:val="00786D47"/>
    <w:rsid w:val="00787DC4"/>
    <w:rsid w:val="00793719"/>
    <w:rsid w:val="00793D51"/>
    <w:rsid w:val="007942C0"/>
    <w:rsid w:val="007943EA"/>
    <w:rsid w:val="00794888"/>
    <w:rsid w:val="00794C19"/>
    <w:rsid w:val="00795E65"/>
    <w:rsid w:val="007A03DE"/>
    <w:rsid w:val="007A072C"/>
    <w:rsid w:val="007A17D2"/>
    <w:rsid w:val="007A34BC"/>
    <w:rsid w:val="007A3585"/>
    <w:rsid w:val="007A7B54"/>
    <w:rsid w:val="007A7DB0"/>
    <w:rsid w:val="007B109C"/>
    <w:rsid w:val="007B264A"/>
    <w:rsid w:val="007B2F34"/>
    <w:rsid w:val="007B3BB1"/>
    <w:rsid w:val="007B417A"/>
    <w:rsid w:val="007B5A24"/>
    <w:rsid w:val="007B7BF9"/>
    <w:rsid w:val="007C1B75"/>
    <w:rsid w:val="007C1FC2"/>
    <w:rsid w:val="007C2D0B"/>
    <w:rsid w:val="007C3C97"/>
    <w:rsid w:val="007C4C0F"/>
    <w:rsid w:val="007C6657"/>
    <w:rsid w:val="007C6C31"/>
    <w:rsid w:val="007C6CEE"/>
    <w:rsid w:val="007C6EDB"/>
    <w:rsid w:val="007C7BBD"/>
    <w:rsid w:val="007D25B6"/>
    <w:rsid w:val="007D3FB3"/>
    <w:rsid w:val="007D5006"/>
    <w:rsid w:val="007D53C1"/>
    <w:rsid w:val="007D652F"/>
    <w:rsid w:val="007D71DC"/>
    <w:rsid w:val="007D789A"/>
    <w:rsid w:val="007E0365"/>
    <w:rsid w:val="007E2415"/>
    <w:rsid w:val="007E3198"/>
    <w:rsid w:val="007E348A"/>
    <w:rsid w:val="007E4CF8"/>
    <w:rsid w:val="007E5A73"/>
    <w:rsid w:val="007E6575"/>
    <w:rsid w:val="007E6CEC"/>
    <w:rsid w:val="007E79BD"/>
    <w:rsid w:val="007E7A85"/>
    <w:rsid w:val="007F034B"/>
    <w:rsid w:val="007F0669"/>
    <w:rsid w:val="007F2566"/>
    <w:rsid w:val="007F43CB"/>
    <w:rsid w:val="007F6140"/>
    <w:rsid w:val="007F6A85"/>
    <w:rsid w:val="007F6D44"/>
    <w:rsid w:val="007F7155"/>
    <w:rsid w:val="007F71D1"/>
    <w:rsid w:val="0080081C"/>
    <w:rsid w:val="0080174C"/>
    <w:rsid w:val="00801BA4"/>
    <w:rsid w:val="008032AC"/>
    <w:rsid w:val="00807892"/>
    <w:rsid w:val="00807B82"/>
    <w:rsid w:val="00811849"/>
    <w:rsid w:val="0081416D"/>
    <w:rsid w:val="0081729B"/>
    <w:rsid w:val="0082131A"/>
    <w:rsid w:val="00822C04"/>
    <w:rsid w:val="00823314"/>
    <w:rsid w:val="00823CC4"/>
    <w:rsid w:val="00826685"/>
    <w:rsid w:val="00826A9D"/>
    <w:rsid w:val="008302E9"/>
    <w:rsid w:val="00830D63"/>
    <w:rsid w:val="00831393"/>
    <w:rsid w:val="00832161"/>
    <w:rsid w:val="00833BAC"/>
    <w:rsid w:val="008343EC"/>
    <w:rsid w:val="0083543C"/>
    <w:rsid w:val="00836D22"/>
    <w:rsid w:val="0084013A"/>
    <w:rsid w:val="00843415"/>
    <w:rsid w:val="00843726"/>
    <w:rsid w:val="00843F5F"/>
    <w:rsid w:val="00850AB7"/>
    <w:rsid w:val="00852519"/>
    <w:rsid w:val="00852601"/>
    <w:rsid w:val="00852674"/>
    <w:rsid w:val="00853BAD"/>
    <w:rsid w:val="0085411F"/>
    <w:rsid w:val="0085535D"/>
    <w:rsid w:val="00856881"/>
    <w:rsid w:val="00856C33"/>
    <w:rsid w:val="00856CDC"/>
    <w:rsid w:val="008608D6"/>
    <w:rsid w:val="008623B6"/>
    <w:rsid w:val="0086363D"/>
    <w:rsid w:val="00864AC7"/>
    <w:rsid w:val="00867737"/>
    <w:rsid w:val="008679C1"/>
    <w:rsid w:val="008703CA"/>
    <w:rsid w:val="00870EE7"/>
    <w:rsid w:val="00871A80"/>
    <w:rsid w:val="00871CF9"/>
    <w:rsid w:val="0087206A"/>
    <w:rsid w:val="00874901"/>
    <w:rsid w:val="00874A7F"/>
    <w:rsid w:val="0087509C"/>
    <w:rsid w:val="00875A4E"/>
    <w:rsid w:val="0088028A"/>
    <w:rsid w:val="00880F8A"/>
    <w:rsid w:val="008825BD"/>
    <w:rsid w:val="00882875"/>
    <w:rsid w:val="00883B97"/>
    <w:rsid w:val="008843E9"/>
    <w:rsid w:val="008858CC"/>
    <w:rsid w:val="0088603C"/>
    <w:rsid w:val="00886A16"/>
    <w:rsid w:val="00890164"/>
    <w:rsid w:val="008901C3"/>
    <w:rsid w:val="00893518"/>
    <w:rsid w:val="00894545"/>
    <w:rsid w:val="008947A8"/>
    <w:rsid w:val="00895DB6"/>
    <w:rsid w:val="00897857"/>
    <w:rsid w:val="008A0DD9"/>
    <w:rsid w:val="008A1B43"/>
    <w:rsid w:val="008A358D"/>
    <w:rsid w:val="008A42EC"/>
    <w:rsid w:val="008A4460"/>
    <w:rsid w:val="008A7AFE"/>
    <w:rsid w:val="008B1D4E"/>
    <w:rsid w:val="008B219F"/>
    <w:rsid w:val="008B2F5B"/>
    <w:rsid w:val="008B2F90"/>
    <w:rsid w:val="008B320A"/>
    <w:rsid w:val="008B4E20"/>
    <w:rsid w:val="008B5009"/>
    <w:rsid w:val="008B55A5"/>
    <w:rsid w:val="008B6B6E"/>
    <w:rsid w:val="008B7711"/>
    <w:rsid w:val="008C0616"/>
    <w:rsid w:val="008C1D82"/>
    <w:rsid w:val="008C2489"/>
    <w:rsid w:val="008C4D00"/>
    <w:rsid w:val="008C6575"/>
    <w:rsid w:val="008D0367"/>
    <w:rsid w:val="008D0EC7"/>
    <w:rsid w:val="008D4124"/>
    <w:rsid w:val="008D4A1F"/>
    <w:rsid w:val="008D4C17"/>
    <w:rsid w:val="008D5445"/>
    <w:rsid w:val="008D62D9"/>
    <w:rsid w:val="008D7234"/>
    <w:rsid w:val="008E048D"/>
    <w:rsid w:val="008E14F7"/>
    <w:rsid w:val="008E1E2E"/>
    <w:rsid w:val="008E3762"/>
    <w:rsid w:val="008E3C39"/>
    <w:rsid w:val="008E47B9"/>
    <w:rsid w:val="008E5487"/>
    <w:rsid w:val="008E55D8"/>
    <w:rsid w:val="008E5825"/>
    <w:rsid w:val="008E6333"/>
    <w:rsid w:val="008E7C4E"/>
    <w:rsid w:val="008F1180"/>
    <w:rsid w:val="008F2E1F"/>
    <w:rsid w:val="008F50A6"/>
    <w:rsid w:val="008F5526"/>
    <w:rsid w:val="008F75F9"/>
    <w:rsid w:val="008F7ED2"/>
    <w:rsid w:val="008F7F27"/>
    <w:rsid w:val="0090001D"/>
    <w:rsid w:val="00900080"/>
    <w:rsid w:val="00902F83"/>
    <w:rsid w:val="00903816"/>
    <w:rsid w:val="0090433D"/>
    <w:rsid w:val="00904669"/>
    <w:rsid w:val="00905816"/>
    <w:rsid w:val="00907E3F"/>
    <w:rsid w:val="00912572"/>
    <w:rsid w:val="00912A6C"/>
    <w:rsid w:val="0091309D"/>
    <w:rsid w:val="009153FB"/>
    <w:rsid w:val="009154A8"/>
    <w:rsid w:val="00916271"/>
    <w:rsid w:val="009171F3"/>
    <w:rsid w:val="009172AB"/>
    <w:rsid w:val="00917CF0"/>
    <w:rsid w:val="00917EDD"/>
    <w:rsid w:val="0092153F"/>
    <w:rsid w:val="00921AEE"/>
    <w:rsid w:val="0092481B"/>
    <w:rsid w:val="00924D8D"/>
    <w:rsid w:val="00925649"/>
    <w:rsid w:val="00926CA7"/>
    <w:rsid w:val="00926E3F"/>
    <w:rsid w:val="0092760C"/>
    <w:rsid w:val="009304DB"/>
    <w:rsid w:val="0093189A"/>
    <w:rsid w:val="0093388C"/>
    <w:rsid w:val="0093449E"/>
    <w:rsid w:val="00940103"/>
    <w:rsid w:val="00941108"/>
    <w:rsid w:val="00941E75"/>
    <w:rsid w:val="009426EF"/>
    <w:rsid w:val="009440CF"/>
    <w:rsid w:val="009460F1"/>
    <w:rsid w:val="009468F2"/>
    <w:rsid w:val="009510E0"/>
    <w:rsid w:val="00951568"/>
    <w:rsid w:val="0095184E"/>
    <w:rsid w:val="00951FBB"/>
    <w:rsid w:val="00952CAF"/>
    <w:rsid w:val="00953023"/>
    <w:rsid w:val="00953A48"/>
    <w:rsid w:val="00953B94"/>
    <w:rsid w:val="00957A6B"/>
    <w:rsid w:val="00960047"/>
    <w:rsid w:val="00961320"/>
    <w:rsid w:val="0096251D"/>
    <w:rsid w:val="0096460F"/>
    <w:rsid w:val="0096473C"/>
    <w:rsid w:val="00964CA9"/>
    <w:rsid w:val="00965AB8"/>
    <w:rsid w:val="00967854"/>
    <w:rsid w:val="00970DD6"/>
    <w:rsid w:val="00971098"/>
    <w:rsid w:val="0097112B"/>
    <w:rsid w:val="00971D1E"/>
    <w:rsid w:val="00972BCB"/>
    <w:rsid w:val="00973191"/>
    <w:rsid w:val="00973E85"/>
    <w:rsid w:val="00974340"/>
    <w:rsid w:val="00974560"/>
    <w:rsid w:val="0097503C"/>
    <w:rsid w:val="00975653"/>
    <w:rsid w:val="0097566E"/>
    <w:rsid w:val="00976899"/>
    <w:rsid w:val="00980330"/>
    <w:rsid w:val="00982074"/>
    <w:rsid w:val="0098291E"/>
    <w:rsid w:val="00982D80"/>
    <w:rsid w:val="009846B2"/>
    <w:rsid w:val="009902DD"/>
    <w:rsid w:val="0099239B"/>
    <w:rsid w:val="0099440D"/>
    <w:rsid w:val="00994793"/>
    <w:rsid w:val="00994E45"/>
    <w:rsid w:val="00997EE1"/>
    <w:rsid w:val="009A1F69"/>
    <w:rsid w:val="009A369C"/>
    <w:rsid w:val="009A3F11"/>
    <w:rsid w:val="009A4F41"/>
    <w:rsid w:val="009A587D"/>
    <w:rsid w:val="009A791C"/>
    <w:rsid w:val="009A7B7B"/>
    <w:rsid w:val="009B2088"/>
    <w:rsid w:val="009B47FE"/>
    <w:rsid w:val="009B4A50"/>
    <w:rsid w:val="009B7869"/>
    <w:rsid w:val="009C0239"/>
    <w:rsid w:val="009C0E02"/>
    <w:rsid w:val="009C3DF8"/>
    <w:rsid w:val="009C3FCD"/>
    <w:rsid w:val="009C43B1"/>
    <w:rsid w:val="009C5E58"/>
    <w:rsid w:val="009C66A8"/>
    <w:rsid w:val="009D0624"/>
    <w:rsid w:val="009D096E"/>
    <w:rsid w:val="009D21B5"/>
    <w:rsid w:val="009D279B"/>
    <w:rsid w:val="009D4DE8"/>
    <w:rsid w:val="009D5084"/>
    <w:rsid w:val="009D51BB"/>
    <w:rsid w:val="009D7DCA"/>
    <w:rsid w:val="009E05D4"/>
    <w:rsid w:val="009E2FF1"/>
    <w:rsid w:val="009E3D9B"/>
    <w:rsid w:val="009E40F1"/>
    <w:rsid w:val="009E4C43"/>
    <w:rsid w:val="009E67CB"/>
    <w:rsid w:val="009E695F"/>
    <w:rsid w:val="009F2DE5"/>
    <w:rsid w:val="009F418B"/>
    <w:rsid w:val="009F429C"/>
    <w:rsid w:val="009F59EE"/>
    <w:rsid w:val="009F5A46"/>
    <w:rsid w:val="009F61B5"/>
    <w:rsid w:val="009F7176"/>
    <w:rsid w:val="009F7715"/>
    <w:rsid w:val="009F7BE6"/>
    <w:rsid w:val="00A01958"/>
    <w:rsid w:val="00A0243B"/>
    <w:rsid w:val="00A033A8"/>
    <w:rsid w:val="00A06652"/>
    <w:rsid w:val="00A06D4E"/>
    <w:rsid w:val="00A119CB"/>
    <w:rsid w:val="00A12C80"/>
    <w:rsid w:val="00A13262"/>
    <w:rsid w:val="00A15083"/>
    <w:rsid w:val="00A2083E"/>
    <w:rsid w:val="00A23F93"/>
    <w:rsid w:val="00A251B7"/>
    <w:rsid w:val="00A25B25"/>
    <w:rsid w:val="00A2616D"/>
    <w:rsid w:val="00A262B2"/>
    <w:rsid w:val="00A30088"/>
    <w:rsid w:val="00A317E9"/>
    <w:rsid w:val="00A32F16"/>
    <w:rsid w:val="00A33820"/>
    <w:rsid w:val="00A356F6"/>
    <w:rsid w:val="00A36976"/>
    <w:rsid w:val="00A41FFD"/>
    <w:rsid w:val="00A44181"/>
    <w:rsid w:val="00A449A7"/>
    <w:rsid w:val="00A47E88"/>
    <w:rsid w:val="00A50537"/>
    <w:rsid w:val="00A50FF7"/>
    <w:rsid w:val="00A51ED5"/>
    <w:rsid w:val="00A523CA"/>
    <w:rsid w:val="00A540D8"/>
    <w:rsid w:val="00A54938"/>
    <w:rsid w:val="00A55FF4"/>
    <w:rsid w:val="00A5681A"/>
    <w:rsid w:val="00A609E2"/>
    <w:rsid w:val="00A61B3D"/>
    <w:rsid w:val="00A62B2F"/>
    <w:rsid w:val="00A63E9F"/>
    <w:rsid w:val="00A66263"/>
    <w:rsid w:val="00A6634C"/>
    <w:rsid w:val="00A66A58"/>
    <w:rsid w:val="00A67C26"/>
    <w:rsid w:val="00A70BFD"/>
    <w:rsid w:val="00A71429"/>
    <w:rsid w:val="00A716BB"/>
    <w:rsid w:val="00A716DA"/>
    <w:rsid w:val="00A71907"/>
    <w:rsid w:val="00A7262E"/>
    <w:rsid w:val="00A7652F"/>
    <w:rsid w:val="00A77602"/>
    <w:rsid w:val="00A77C37"/>
    <w:rsid w:val="00A80D19"/>
    <w:rsid w:val="00A82822"/>
    <w:rsid w:val="00A86D97"/>
    <w:rsid w:val="00A87E4C"/>
    <w:rsid w:val="00A9058B"/>
    <w:rsid w:val="00A91845"/>
    <w:rsid w:val="00A91B4B"/>
    <w:rsid w:val="00A91EC8"/>
    <w:rsid w:val="00A920BE"/>
    <w:rsid w:val="00A94ECB"/>
    <w:rsid w:val="00A96FE1"/>
    <w:rsid w:val="00A9782C"/>
    <w:rsid w:val="00AA04A0"/>
    <w:rsid w:val="00AA2310"/>
    <w:rsid w:val="00AA2878"/>
    <w:rsid w:val="00AA2FB3"/>
    <w:rsid w:val="00AB0DEF"/>
    <w:rsid w:val="00AB26A8"/>
    <w:rsid w:val="00AB3296"/>
    <w:rsid w:val="00AB3C1B"/>
    <w:rsid w:val="00AB5442"/>
    <w:rsid w:val="00AB753F"/>
    <w:rsid w:val="00AC0E9F"/>
    <w:rsid w:val="00AC0F71"/>
    <w:rsid w:val="00AC1AD3"/>
    <w:rsid w:val="00AC1DCC"/>
    <w:rsid w:val="00AC2047"/>
    <w:rsid w:val="00AC318C"/>
    <w:rsid w:val="00AC3907"/>
    <w:rsid w:val="00AC6EF8"/>
    <w:rsid w:val="00AD0166"/>
    <w:rsid w:val="00AD1BFC"/>
    <w:rsid w:val="00AD1D6A"/>
    <w:rsid w:val="00AD22EF"/>
    <w:rsid w:val="00AD4420"/>
    <w:rsid w:val="00AD5A4A"/>
    <w:rsid w:val="00AD5A7B"/>
    <w:rsid w:val="00AD758E"/>
    <w:rsid w:val="00AD7BA1"/>
    <w:rsid w:val="00AD7E83"/>
    <w:rsid w:val="00AE00CB"/>
    <w:rsid w:val="00AE0B76"/>
    <w:rsid w:val="00AE2251"/>
    <w:rsid w:val="00AE2314"/>
    <w:rsid w:val="00AE2C0E"/>
    <w:rsid w:val="00AE40FF"/>
    <w:rsid w:val="00AE5CAD"/>
    <w:rsid w:val="00AE60C3"/>
    <w:rsid w:val="00AF0671"/>
    <w:rsid w:val="00AF0F80"/>
    <w:rsid w:val="00AF26B6"/>
    <w:rsid w:val="00AF2C7C"/>
    <w:rsid w:val="00AF430E"/>
    <w:rsid w:val="00AF44DF"/>
    <w:rsid w:val="00AF6CCC"/>
    <w:rsid w:val="00AF6D4A"/>
    <w:rsid w:val="00AF6E9A"/>
    <w:rsid w:val="00AF6F56"/>
    <w:rsid w:val="00AF7B2A"/>
    <w:rsid w:val="00B001E3"/>
    <w:rsid w:val="00B00BFE"/>
    <w:rsid w:val="00B01353"/>
    <w:rsid w:val="00B01B38"/>
    <w:rsid w:val="00B01CC3"/>
    <w:rsid w:val="00B025D8"/>
    <w:rsid w:val="00B02749"/>
    <w:rsid w:val="00B03BD1"/>
    <w:rsid w:val="00B04AD1"/>
    <w:rsid w:val="00B06B2A"/>
    <w:rsid w:val="00B11118"/>
    <w:rsid w:val="00B11772"/>
    <w:rsid w:val="00B11E4C"/>
    <w:rsid w:val="00B12151"/>
    <w:rsid w:val="00B121FB"/>
    <w:rsid w:val="00B13651"/>
    <w:rsid w:val="00B1443A"/>
    <w:rsid w:val="00B1593F"/>
    <w:rsid w:val="00B16740"/>
    <w:rsid w:val="00B16D8C"/>
    <w:rsid w:val="00B16E96"/>
    <w:rsid w:val="00B22CFF"/>
    <w:rsid w:val="00B22FF3"/>
    <w:rsid w:val="00B24518"/>
    <w:rsid w:val="00B24CF1"/>
    <w:rsid w:val="00B2607A"/>
    <w:rsid w:val="00B26CAD"/>
    <w:rsid w:val="00B27E57"/>
    <w:rsid w:val="00B301FF"/>
    <w:rsid w:val="00B302E5"/>
    <w:rsid w:val="00B309FB"/>
    <w:rsid w:val="00B31E29"/>
    <w:rsid w:val="00B32FA0"/>
    <w:rsid w:val="00B3340A"/>
    <w:rsid w:val="00B338EF"/>
    <w:rsid w:val="00B358A4"/>
    <w:rsid w:val="00B35BC9"/>
    <w:rsid w:val="00B36BF7"/>
    <w:rsid w:val="00B37371"/>
    <w:rsid w:val="00B405C5"/>
    <w:rsid w:val="00B406D3"/>
    <w:rsid w:val="00B40DE7"/>
    <w:rsid w:val="00B41F89"/>
    <w:rsid w:val="00B42AD8"/>
    <w:rsid w:val="00B42CF6"/>
    <w:rsid w:val="00B435E4"/>
    <w:rsid w:val="00B44348"/>
    <w:rsid w:val="00B4559F"/>
    <w:rsid w:val="00B455A9"/>
    <w:rsid w:val="00B45F67"/>
    <w:rsid w:val="00B460EB"/>
    <w:rsid w:val="00B469B0"/>
    <w:rsid w:val="00B47390"/>
    <w:rsid w:val="00B47994"/>
    <w:rsid w:val="00B5049A"/>
    <w:rsid w:val="00B5080A"/>
    <w:rsid w:val="00B51BAC"/>
    <w:rsid w:val="00B530CB"/>
    <w:rsid w:val="00B53541"/>
    <w:rsid w:val="00B53750"/>
    <w:rsid w:val="00B54F4E"/>
    <w:rsid w:val="00B55812"/>
    <w:rsid w:val="00B55DE5"/>
    <w:rsid w:val="00B56499"/>
    <w:rsid w:val="00B618E2"/>
    <w:rsid w:val="00B66C15"/>
    <w:rsid w:val="00B6733A"/>
    <w:rsid w:val="00B70EDE"/>
    <w:rsid w:val="00B7198C"/>
    <w:rsid w:val="00B7273A"/>
    <w:rsid w:val="00B73084"/>
    <w:rsid w:val="00B74140"/>
    <w:rsid w:val="00B747C7"/>
    <w:rsid w:val="00B74E0D"/>
    <w:rsid w:val="00B7582D"/>
    <w:rsid w:val="00B77D2C"/>
    <w:rsid w:val="00B77E40"/>
    <w:rsid w:val="00B80098"/>
    <w:rsid w:val="00B82AEA"/>
    <w:rsid w:val="00B83F85"/>
    <w:rsid w:val="00B84AFB"/>
    <w:rsid w:val="00B84E47"/>
    <w:rsid w:val="00B8670C"/>
    <w:rsid w:val="00B92B04"/>
    <w:rsid w:val="00B92BAA"/>
    <w:rsid w:val="00B92CFF"/>
    <w:rsid w:val="00B93860"/>
    <w:rsid w:val="00B9419F"/>
    <w:rsid w:val="00B94267"/>
    <w:rsid w:val="00B96DC9"/>
    <w:rsid w:val="00B97169"/>
    <w:rsid w:val="00BA1B95"/>
    <w:rsid w:val="00BA296A"/>
    <w:rsid w:val="00BA3017"/>
    <w:rsid w:val="00BA3756"/>
    <w:rsid w:val="00BA4875"/>
    <w:rsid w:val="00BA55E3"/>
    <w:rsid w:val="00BA7B76"/>
    <w:rsid w:val="00BB2BBE"/>
    <w:rsid w:val="00BB3EE9"/>
    <w:rsid w:val="00BB4FD3"/>
    <w:rsid w:val="00BB5D58"/>
    <w:rsid w:val="00BB6E7E"/>
    <w:rsid w:val="00BB7C71"/>
    <w:rsid w:val="00BC09F1"/>
    <w:rsid w:val="00BC2073"/>
    <w:rsid w:val="00BC3961"/>
    <w:rsid w:val="00BC4112"/>
    <w:rsid w:val="00BC4391"/>
    <w:rsid w:val="00BC5453"/>
    <w:rsid w:val="00BC678D"/>
    <w:rsid w:val="00BC68EF"/>
    <w:rsid w:val="00BC6B44"/>
    <w:rsid w:val="00BC7C7E"/>
    <w:rsid w:val="00BD0846"/>
    <w:rsid w:val="00BD41B1"/>
    <w:rsid w:val="00BD43AD"/>
    <w:rsid w:val="00BD5771"/>
    <w:rsid w:val="00BD705D"/>
    <w:rsid w:val="00BD73AD"/>
    <w:rsid w:val="00BD7527"/>
    <w:rsid w:val="00BD7653"/>
    <w:rsid w:val="00BD7ADB"/>
    <w:rsid w:val="00BE1530"/>
    <w:rsid w:val="00BE1CFB"/>
    <w:rsid w:val="00BE29C1"/>
    <w:rsid w:val="00BE3CF8"/>
    <w:rsid w:val="00BE5AE5"/>
    <w:rsid w:val="00BE6679"/>
    <w:rsid w:val="00BF0089"/>
    <w:rsid w:val="00BF05CA"/>
    <w:rsid w:val="00BF0608"/>
    <w:rsid w:val="00BF145A"/>
    <w:rsid w:val="00BF16FB"/>
    <w:rsid w:val="00BF1CFB"/>
    <w:rsid w:val="00BF1E76"/>
    <w:rsid w:val="00BF3188"/>
    <w:rsid w:val="00BF447E"/>
    <w:rsid w:val="00BF7037"/>
    <w:rsid w:val="00BF770F"/>
    <w:rsid w:val="00BF782E"/>
    <w:rsid w:val="00BF7A47"/>
    <w:rsid w:val="00C00E61"/>
    <w:rsid w:val="00C0135F"/>
    <w:rsid w:val="00C01439"/>
    <w:rsid w:val="00C01B9B"/>
    <w:rsid w:val="00C01E2D"/>
    <w:rsid w:val="00C01FD9"/>
    <w:rsid w:val="00C0494D"/>
    <w:rsid w:val="00C04B0B"/>
    <w:rsid w:val="00C05CED"/>
    <w:rsid w:val="00C05D0F"/>
    <w:rsid w:val="00C0772B"/>
    <w:rsid w:val="00C10391"/>
    <w:rsid w:val="00C114E0"/>
    <w:rsid w:val="00C13255"/>
    <w:rsid w:val="00C14C1E"/>
    <w:rsid w:val="00C20672"/>
    <w:rsid w:val="00C20F13"/>
    <w:rsid w:val="00C23277"/>
    <w:rsid w:val="00C247DF"/>
    <w:rsid w:val="00C24897"/>
    <w:rsid w:val="00C24C58"/>
    <w:rsid w:val="00C25E72"/>
    <w:rsid w:val="00C2622C"/>
    <w:rsid w:val="00C270A8"/>
    <w:rsid w:val="00C30A97"/>
    <w:rsid w:val="00C31876"/>
    <w:rsid w:val="00C33726"/>
    <w:rsid w:val="00C338AA"/>
    <w:rsid w:val="00C358F1"/>
    <w:rsid w:val="00C36400"/>
    <w:rsid w:val="00C37869"/>
    <w:rsid w:val="00C40F00"/>
    <w:rsid w:val="00C4501E"/>
    <w:rsid w:val="00C451D0"/>
    <w:rsid w:val="00C4527D"/>
    <w:rsid w:val="00C4574F"/>
    <w:rsid w:val="00C4577E"/>
    <w:rsid w:val="00C471EF"/>
    <w:rsid w:val="00C47634"/>
    <w:rsid w:val="00C47E88"/>
    <w:rsid w:val="00C50978"/>
    <w:rsid w:val="00C50D0E"/>
    <w:rsid w:val="00C511EC"/>
    <w:rsid w:val="00C51572"/>
    <w:rsid w:val="00C515EF"/>
    <w:rsid w:val="00C51BD9"/>
    <w:rsid w:val="00C51BFF"/>
    <w:rsid w:val="00C522CE"/>
    <w:rsid w:val="00C53A62"/>
    <w:rsid w:val="00C554E4"/>
    <w:rsid w:val="00C55A53"/>
    <w:rsid w:val="00C55BC6"/>
    <w:rsid w:val="00C55E72"/>
    <w:rsid w:val="00C5697D"/>
    <w:rsid w:val="00C57A0D"/>
    <w:rsid w:val="00C57B84"/>
    <w:rsid w:val="00C603C4"/>
    <w:rsid w:val="00C611A9"/>
    <w:rsid w:val="00C614EC"/>
    <w:rsid w:val="00C619C5"/>
    <w:rsid w:val="00C62E66"/>
    <w:rsid w:val="00C63B4C"/>
    <w:rsid w:val="00C66ABB"/>
    <w:rsid w:val="00C67AC5"/>
    <w:rsid w:val="00C70280"/>
    <w:rsid w:val="00C71634"/>
    <w:rsid w:val="00C72273"/>
    <w:rsid w:val="00C72C63"/>
    <w:rsid w:val="00C72F9A"/>
    <w:rsid w:val="00C8001F"/>
    <w:rsid w:val="00C80710"/>
    <w:rsid w:val="00C8071C"/>
    <w:rsid w:val="00C8167A"/>
    <w:rsid w:val="00C82A88"/>
    <w:rsid w:val="00C83D59"/>
    <w:rsid w:val="00C83FDE"/>
    <w:rsid w:val="00C84753"/>
    <w:rsid w:val="00C84CD0"/>
    <w:rsid w:val="00C84E6F"/>
    <w:rsid w:val="00C857E2"/>
    <w:rsid w:val="00C85F8B"/>
    <w:rsid w:val="00C8610A"/>
    <w:rsid w:val="00C867EC"/>
    <w:rsid w:val="00C86B6B"/>
    <w:rsid w:val="00C86D39"/>
    <w:rsid w:val="00C87F56"/>
    <w:rsid w:val="00C96DBF"/>
    <w:rsid w:val="00CA04EA"/>
    <w:rsid w:val="00CA1348"/>
    <w:rsid w:val="00CA35B5"/>
    <w:rsid w:val="00CA386E"/>
    <w:rsid w:val="00CA425C"/>
    <w:rsid w:val="00CA42AE"/>
    <w:rsid w:val="00CB28F2"/>
    <w:rsid w:val="00CB3320"/>
    <w:rsid w:val="00CB6C48"/>
    <w:rsid w:val="00CB6E7E"/>
    <w:rsid w:val="00CC17C2"/>
    <w:rsid w:val="00CC1FD7"/>
    <w:rsid w:val="00CC30ED"/>
    <w:rsid w:val="00CC39E6"/>
    <w:rsid w:val="00CC3EB4"/>
    <w:rsid w:val="00CC4185"/>
    <w:rsid w:val="00CC4D81"/>
    <w:rsid w:val="00CC4F95"/>
    <w:rsid w:val="00CC68E9"/>
    <w:rsid w:val="00CC70E5"/>
    <w:rsid w:val="00CD0C3D"/>
    <w:rsid w:val="00CD2ABD"/>
    <w:rsid w:val="00CD3128"/>
    <w:rsid w:val="00CD3F7F"/>
    <w:rsid w:val="00CD4318"/>
    <w:rsid w:val="00CD47F7"/>
    <w:rsid w:val="00CD4AB7"/>
    <w:rsid w:val="00CD59A7"/>
    <w:rsid w:val="00CD6C35"/>
    <w:rsid w:val="00CE292A"/>
    <w:rsid w:val="00CE29A9"/>
    <w:rsid w:val="00CE3910"/>
    <w:rsid w:val="00CE48D8"/>
    <w:rsid w:val="00CE76DD"/>
    <w:rsid w:val="00CE7B2D"/>
    <w:rsid w:val="00CE7C0A"/>
    <w:rsid w:val="00CF0321"/>
    <w:rsid w:val="00CF0CD9"/>
    <w:rsid w:val="00CF294B"/>
    <w:rsid w:val="00CF2B10"/>
    <w:rsid w:val="00CF301B"/>
    <w:rsid w:val="00CF306E"/>
    <w:rsid w:val="00CF36F4"/>
    <w:rsid w:val="00CF3ACD"/>
    <w:rsid w:val="00CF4D44"/>
    <w:rsid w:val="00CF50D8"/>
    <w:rsid w:val="00CF55DA"/>
    <w:rsid w:val="00CF72FF"/>
    <w:rsid w:val="00D01C34"/>
    <w:rsid w:val="00D01F4D"/>
    <w:rsid w:val="00D02201"/>
    <w:rsid w:val="00D02210"/>
    <w:rsid w:val="00D04B33"/>
    <w:rsid w:val="00D053A3"/>
    <w:rsid w:val="00D056BA"/>
    <w:rsid w:val="00D07533"/>
    <w:rsid w:val="00D11784"/>
    <w:rsid w:val="00D13434"/>
    <w:rsid w:val="00D13D9B"/>
    <w:rsid w:val="00D141A3"/>
    <w:rsid w:val="00D15D55"/>
    <w:rsid w:val="00D15E61"/>
    <w:rsid w:val="00D174EF"/>
    <w:rsid w:val="00D20F09"/>
    <w:rsid w:val="00D213EB"/>
    <w:rsid w:val="00D24019"/>
    <w:rsid w:val="00D25499"/>
    <w:rsid w:val="00D258BA"/>
    <w:rsid w:val="00D2727C"/>
    <w:rsid w:val="00D278DA"/>
    <w:rsid w:val="00D3079E"/>
    <w:rsid w:val="00D33337"/>
    <w:rsid w:val="00D339AE"/>
    <w:rsid w:val="00D350E9"/>
    <w:rsid w:val="00D36A9A"/>
    <w:rsid w:val="00D40159"/>
    <w:rsid w:val="00D401F0"/>
    <w:rsid w:val="00D40BBB"/>
    <w:rsid w:val="00D415EE"/>
    <w:rsid w:val="00D42470"/>
    <w:rsid w:val="00D42D12"/>
    <w:rsid w:val="00D44C1C"/>
    <w:rsid w:val="00D45E1A"/>
    <w:rsid w:val="00D47DFF"/>
    <w:rsid w:val="00D50DD8"/>
    <w:rsid w:val="00D51540"/>
    <w:rsid w:val="00D52CCB"/>
    <w:rsid w:val="00D539C0"/>
    <w:rsid w:val="00D56167"/>
    <w:rsid w:val="00D570D7"/>
    <w:rsid w:val="00D57A8C"/>
    <w:rsid w:val="00D61E98"/>
    <w:rsid w:val="00D6323E"/>
    <w:rsid w:val="00D64545"/>
    <w:rsid w:val="00D6491C"/>
    <w:rsid w:val="00D65237"/>
    <w:rsid w:val="00D65D5B"/>
    <w:rsid w:val="00D67FCC"/>
    <w:rsid w:val="00D719AC"/>
    <w:rsid w:val="00D72AFB"/>
    <w:rsid w:val="00D74DD0"/>
    <w:rsid w:val="00D76776"/>
    <w:rsid w:val="00D76FB5"/>
    <w:rsid w:val="00D77720"/>
    <w:rsid w:val="00D82A07"/>
    <w:rsid w:val="00D82DB7"/>
    <w:rsid w:val="00D86DF6"/>
    <w:rsid w:val="00D92053"/>
    <w:rsid w:val="00D922AE"/>
    <w:rsid w:val="00D92866"/>
    <w:rsid w:val="00D935EA"/>
    <w:rsid w:val="00D93835"/>
    <w:rsid w:val="00D94404"/>
    <w:rsid w:val="00D966C9"/>
    <w:rsid w:val="00D96BBB"/>
    <w:rsid w:val="00DA155B"/>
    <w:rsid w:val="00DA1F7E"/>
    <w:rsid w:val="00DA252E"/>
    <w:rsid w:val="00DA2F4E"/>
    <w:rsid w:val="00DA41A4"/>
    <w:rsid w:val="00DA5816"/>
    <w:rsid w:val="00DA6343"/>
    <w:rsid w:val="00DA656A"/>
    <w:rsid w:val="00DA79C7"/>
    <w:rsid w:val="00DB0E59"/>
    <w:rsid w:val="00DB0EEE"/>
    <w:rsid w:val="00DB1ECD"/>
    <w:rsid w:val="00DB3F3F"/>
    <w:rsid w:val="00DB6B18"/>
    <w:rsid w:val="00DC2779"/>
    <w:rsid w:val="00DC4584"/>
    <w:rsid w:val="00DD2338"/>
    <w:rsid w:val="00DD324C"/>
    <w:rsid w:val="00DD661C"/>
    <w:rsid w:val="00DD71EF"/>
    <w:rsid w:val="00DD778D"/>
    <w:rsid w:val="00DE0FDD"/>
    <w:rsid w:val="00DE107A"/>
    <w:rsid w:val="00DE1470"/>
    <w:rsid w:val="00DE14E7"/>
    <w:rsid w:val="00DE1EE2"/>
    <w:rsid w:val="00DE2BEF"/>
    <w:rsid w:val="00DE3252"/>
    <w:rsid w:val="00DE4469"/>
    <w:rsid w:val="00DE697B"/>
    <w:rsid w:val="00DF0BF3"/>
    <w:rsid w:val="00DF14EF"/>
    <w:rsid w:val="00DF39CB"/>
    <w:rsid w:val="00DF3AEF"/>
    <w:rsid w:val="00DF4455"/>
    <w:rsid w:val="00DF646B"/>
    <w:rsid w:val="00DF7916"/>
    <w:rsid w:val="00E027DB"/>
    <w:rsid w:val="00E02E01"/>
    <w:rsid w:val="00E107F4"/>
    <w:rsid w:val="00E12E73"/>
    <w:rsid w:val="00E13723"/>
    <w:rsid w:val="00E142C7"/>
    <w:rsid w:val="00E15499"/>
    <w:rsid w:val="00E158E4"/>
    <w:rsid w:val="00E17C2A"/>
    <w:rsid w:val="00E20B57"/>
    <w:rsid w:val="00E20CFB"/>
    <w:rsid w:val="00E21EA1"/>
    <w:rsid w:val="00E22380"/>
    <w:rsid w:val="00E24057"/>
    <w:rsid w:val="00E24B6A"/>
    <w:rsid w:val="00E25DD1"/>
    <w:rsid w:val="00E26472"/>
    <w:rsid w:val="00E267E0"/>
    <w:rsid w:val="00E30987"/>
    <w:rsid w:val="00E32152"/>
    <w:rsid w:val="00E3271A"/>
    <w:rsid w:val="00E32A7B"/>
    <w:rsid w:val="00E345FC"/>
    <w:rsid w:val="00E34B42"/>
    <w:rsid w:val="00E34C11"/>
    <w:rsid w:val="00E35258"/>
    <w:rsid w:val="00E357E3"/>
    <w:rsid w:val="00E35FE0"/>
    <w:rsid w:val="00E361EA"/>
    <w:rsid w:val="00E36D9E"/>
    <w:rsid w:val="00E37C6C"/>
    <w:rsid w:val="00E43247"/>
    <w:rsid w:val="00E434FC"/>
    <w:rsid w:val="00E44D57"/>
    <w:rsid w:val="00E4634C"/>
    <w:rsid w:val="00E47119"/>
    <w:rsid w:val="00E515BB"/>
    <w:rsid w:val="00E51BE3"/>
    <w:rsid w:val="00E528E4"/>
    <w:rsid w:val="00E52DAE"/>
    <w:rsid w:val="00E537C7"/>
    <w:rsid w:val="00E55B92"/>
    <w:rsid w:val="00E56B15"/>
    <w:rsid w:val="00E608CE"/>
    <w:rsid w:val="00E62BBA"/>
    <w:rsid w:val="00E64E0C"/>
    <w:rsid w:val="00E660B7"/>
    <w:rsid w:val="00E70499"/>
    <w:rsid w:val="00E724DC"/>
    <w:rsid w:val="00E724E6"/>
    <w:rsid w:val="00E72E09"/>
    <w:rsid w:val="00E73750"/>
    <w:rsid w:val="00E76134"/>
    <w:rsid w:val="00E76245"/>
    <w:rsid w:val="00E77ABA"/>
    <w:rsid w:val="00E8076E"/>
    <w:rsid w:val="00E80827"/>
    <w:rsid w:val="00E82079"/>
    <w:rsid w:val="00E822E8"/>
    <w:rsid w:val="00E825CC"/>
    <w:rsid w:val="00E848AA"/>
    <w:rsid w:val="00E87DB6"/>
    <w:rsid w:val="00E90F19"/>
    <w:rsid w:val="00E92B3C"/>
    <w:rsid w:val="00E95113"/>
    <w:rsid w:val="00E951ED"/>
    <w:rsid w:val="00EA021A"/>
    <w:rsid w:val="00EA231E"/>
    <w:rsid w:val="00EA3F6C"/>
    <w:rsid w:val="00EA4203"/>
    <w:rsid w:val="00EA57CD"/>
    <w:rsid w:val="00EB06C9"/>
    <w:rsid w:val="00EB1900"/>
    <w:rsid w:val="00EB20F4"/>
    <w:rsid w:val="00EB2CB4"/>
    <w:rsid w:val="00EB2D21"/>
    <w:rsid w:val="00EB39F7"/>
    <w:rsid w:val="00EB5825"/>
    <w:rsid w:val="00EB5C01"/>
    <w:rsid w:val="00EB5F03"/>
    <w:rsid w:val="00EB7792"/>
    <w:rsid w:val="00EB7D56"/>
    <w:rsid w:val="00EB7D61"/>
    <w:rsid w:val="00EC03F2"/>
    <w:rsid w:val="00EC1A5F"/>
    <w:rsid w:val="00EC1C6B"/>
    <w:rsid w:val="00EC3EBC"/>
    <w:rsid w:val="00EC4143"/>
    <w:rsid w:val="00EC4E49"/>
    <w:rsid w:val="00EC539A"/>
    <w:rsid w:val="00EC5DBC"/>
    <w:rsid w:val="00EC6728"/>
    <w:rsid w:val="00EC6BBB"/>
    <w:rsid w:val="00ED136F"/>
    <w:rsid w:val="00ED2919"/>
    <w:rsid w:val="00ED2BC2"/>
    <w:rsid w:val="00ED2E36"/>
    <w:rsid w:val="00ED3486"/>
    <w:rsid w:val="00ED3C96"/>
    <w:rsid w:val="00ED3FD6"/>
    <w:rsid w:val="00ED40A8"/>
    <w:rsid w:val="00ED44EB"/>
    <w:rsid w:val="00ED5473"/>
    <w:rsid w:val="00ED7FA2"/>
    <w:rsid w:val="00EE08CC"/>
    <w:rsid w:val="00EE2B3F"/>
    <w:rsid w:val="00EE4849"/>
    <w:rsid w:val="00EE494F"/>
    <w:rsid w:val="00EE4B2B"/>
    <w:rsid w:val="00EE4CC4"/>
    <w:rsid w:val="00EE5563"/>
    <w:rsid w:val="00EE591B"/>
    <w:rsid w:val="00EE609B"/>
    <w:rsid w:val="00EE72D4"/>
    <w:rsid w:val="00EF192B"/>
    <w:rsid w:val="00EF3EA6"/>
    <w:rsid w:val="00EF4018"/>
    <w:rsid w:val="00EF70FF"/>
    <w:rsid w:val="00EF732C"/>
    <w:rsid w:val="00EF7D8D"/>
    <w:rsid w:val="00F001DF"/>
    <w:rsid w:val="00F00A15"/>
    <w:rsid w:val="00F02343"/>
    <w:rsid w:val="00F02638"/>
    <w:rsid w:val="00F02782"/>
    <w:rsid w:val="00F02E80"/>
    <w:rsid w:val="00F04700"/>
    <w:rsid w:val="00F04DD8"/>
    <w:rsid w:val="00F06A1C"/>
    <w:rsid w:val="00F07226"/>
    <w:rsid w:val="00F11334"/>
    <w:rsid w:val="00F11768"/>
    <w:rsid w:val="00F12F02"/>
    <w:rsid w:val="00F134A2"/>
    <w:rsid w:val="00F13ACE"/>
    <w:rsid w:val="00F13C43"/>
    <w:rsid w:val="00F148DB"/>
    <w:rsid w:val="00F14A2E"/>
    <w:rsid w:val="00F15421"/>
    <w:rsid w:val="00F16BC5"/>
    <w:rsid w:val="00F1739F"/>
    <w:rsid w:val="00F20770"/>
    <w:rsid w:val="00F24A8E"/>
    <w:rsid w:val="00F253A1"/>
    <w:rsid w:val="00F25AB6"/>
    <w:rsid w:val="00F278A4"/>
    <w:rsid w:val="00F27DCE"/>
    <w:rsid w:val="00F30F8A"/>
    <w:rsid w:val="00F31A43"/>
    <w:rsid w:val="00F3267F"/>
    <w:rsid w:val="00F33019"/>
    <w:rsid w:val="00F3498B"/>
    <w:rsid w:val="00F3548C"/>
    <w:rsid w:val="00F35653"/>
    <w:rsid w:val="00F360C9"/>
    <w:rsid w:val="00F364D7"/>
    <w:rsid w:val="00F36C6E"/>
    <w:rsid w:val="00F3737B"/>
    <w:rsid w:val="00F37EAE"/>
    <w:rsid w:val="00F404D5"/>
    <w:rsid w:val="00F40F93"/>
    <w:rsid w:val="00F415DF"/>
    <w:rsid w:val="00F43707"/>
    <w:rsid w:val="00F44916"/>
    <w:rsid w:val="00F45061"/>
    <w:rsid w:val="00F45208"/>
    <w:rsid w:val="00F47F86"/>
    <w:rsid w:val="00F503D2"/>
    <w:rsid w:val="00F51B8C"/>
    <w:rsid w:val="00F5271F"/>
    <w:rsid w:val="00F5400A"/>
    <w:rsid w:val="00F547F1"/>
    <w:rsid w:val="00F54DF4"/>
    <w:rsid w:val="00F55F44"/>
    <w:rsid w:val="00F56143"/>
    <w:rsid w:val="00F5677C"/>
    <w:rsid w:val="00F57525"/>
    <w:rsid w:val="00F575BE"/>
    <w:rsid w:val="00F601C3"/>
    <w:rsid w:val="00F60D7C"/>
    <w:rsid w:val="00F61E8C"/>
    <w:rsid w:val="00F63C91"/>
    <w:rsid w:val="00F6495C"/>
    <w:rsid w:val="00F65A4B"/>
    <w:rsid w:val="00F66431"/>
    <w:rsid w:val="00F667B8"/>
    <w:rsid w:val="00F6738A"/>
    <w:rsid w:val="00F70A68"/>
    <w:rsid w:val="00F710CD"/>
    <w:rsid w:val="00F7514D"/>
    <w:rsid w:val="00F75939"/>
    <w:rsid w:val="00F75B5B"/>
    <w:rsid w:val="00F761C6"/>
    <w:rsid w:val="00F762BD"/>
    <w:rsid w:val="00F805CD"/>
    <w:rsid w:val="00F806AA"/>
    <w:rsid w:val="00F83174"/>
    <w:rsid w:val="00F8377D"/>
    <w:rsid w:val="00F83F8C"/>
    <w:rsid w:val="00F83FA6"/>
    <w:rsid w:val="00F84701"/>
    <w:rsid w:val="00F85EEA"/>
    <w:rsid w:val="00F8757F"/>
    <w:rsid w:val="00F902EF"/>
    <w:rsid w:val="00F91247"/>
    <w:rsid w:val="00F9280B"/>
    <w:rsid w:val="00F92B50"/>
    <w:rsid w:val="00F93709"/>
    <w:rsid w:val="00F94A1D"/>
    <w:rsid w:val="00F95E9D"/>
    <w:rsid w:val="00F960D9"/>
    <w:rsid w:val="00F97140"/>
    <w:rsid w:val="00F97F1B"/>
    <w:rsid w:val="00F97F96"/>
    <w:rsid w:val="00FA19A2"/>
    <w:rsid w:val="00FA1ECC"/>
    <w:rsid w:val="00FA48DA"/>
    <w:rsid w:val="00FA575A"/>
    <w:rsid w:val="00FB0515"/>
    <w:rsid w:val="00FB0F1D"/>
    <w:rsid w:val="00FB10A0"/>
    <w:rsid w:val="00FB27EF"/>
    <w:rsid w:val="00FB37CE"/>
    <w:rsid w:val="00FB4DB4"/>
    <w:rsid w:val="00FB5608"/>
    <w:rsid w:val="00FB5AF5"/>
    <w:rsid w:val="00FB6B3E"/>
    <w:rsid w:val="00FB70FD"/>
    <w:rsid w:val="00FC0004"/>
    <w:rsid w:val="00FC1975"/>
    <w:rsid w:val="00FC258D"/>
    <w:rsid w:val="00FC4A80"/>
    <w:rsid w:val="00FC5E98"/>
    <w:rsid w:val="00FC602F"/>
    <w:rsid w:val="00FD00B5"/>
    <w:rsid w:val="00FD046B"/>
    <w:rsid w:val="00FD0CB8"/>
    <w:rsid w:val="00FD128F"/>
    <w:rsid w:val="00FD2ADB"/>
    <w:rsid w:val="00FD3BB4"/>
    <w:rsid w:val="00FD4B8C"/>
    <w:rsid w:val="00FD5830"/>
    <w:rsid w:val="00FD5917"/>
    <w:rsid w:val="00FD62AF"/>
    <w:rsid w:val="00FD6E00"/>
    <w:rsid w:val="00FD7F64"/>
    <w:rsid w:val="00FE11F1"/>
    <w:rsid w:val="00FE1C42"/>
    <w:rsid w:val="00FE30E6"/>
    <w:rsid w:val="00FE3D18"/>
    <w:rsid w:val="00FE5E8F"/>
    <w:rsid w:val="00FF0672"/>
    <w:rsid w:val="00FF181F"/>
    <w:rsid w:val="00FF2454"/>
    <w:rsid w:val="00FF275C"/>
    <w:rsid w:val="00FF2E39"/>
    <w:rsid w:val="00FF46D6"/>
    <w:rsid w:val="00FF493D"/>
    <w:rsid w:val="00FF676E"/>
    <w:rsid w:val="09014074"/>
    <w:rsid w:val="10399FEC"/>
    <w:rsid w:val="123D4CFB"/>
    <w:rsid w:val="14A93882"/>
    <w:rsid w:val="1965A103"/>
    <w:rsid w:val="1A96F571"/>
    <w:rsid w:val="1AE7837D"/>
    <w:rsid w:val="247272E5"/>
    <w:rsid w:val="2B598ABA"/>
    <w:rsid w:val="2BAA4741"/>
    <w:rsid w:val="2E4F050F"/>
    <w:rsid w:val="31555641"/>
    <w:rsid w:val="357A9105"/>
    <w:rsid w:val="3614F239"/>
    <w:rsid w:val="3A1319AC"/>
    <w:rsid w:val="41A2AD3E"/>
    <w:rsid w:val="45CD49FF"/>
    <w:rsid w:val="4A256BB4"/>
    <w:rsid w:val="4B50F5A9"/>
    <w:rsid w:val="58597A80"/>
    <w:rsid w:val="650C6EE4"/>
    <w:rsid w:val="6FA9A3E7"/>
    <w:rsid w:val="6FD925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370352"/>
  <w15:docId w15:val="{2BE7EC5A-B90E-4B28-BE0B-AFF33BC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lsdException w:name="heading 3" w:locked="0" w:semiHidden="1" w:uiPriority="0" w:unhideWhenUsed="1"/>
    <w:lsdException w:name="heading 4" w:locked="0" w:semiHidden="1" w:uiPriority="9" w:unhideWhenUsed="1" w:qFormat="1"/>
    <w:lsdException w:name="heading 5" w:locked="0" w:semiHidden="1" w:uiPriority="9" w:unhideWhenUsed="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locked="0" w:semiHidden="1" w:unhideWhenUsed="1"/>
    <w:lsdException w:name="footer" w:locked="0"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semiHidden="1"/>
    <w:lsdException w:name="line number" w:semiHidden="1"/>
    <w:lsdException w:name="page number" w:locked="0" w:semiHidden="1" w:uiPriority="39"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locked="0" w:semiHidden="1" w:unhideWhenUsed="1"/>
    <w:lsdException w:name="List Number" w:semiHidden="1"/>
    <w:lsdException w:name="List 2" w:semiHidden="1"/>
    <w:lsdException w:name="List 3" w:semiHidden="1"/>
    <w:lsdException w:name="List 4" w:semiHidden="1"/>
    <w:lsdException w:name="List 5"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lsdException w:name="List Number 3" w:semiHidden="1"/>
    <w:lsdException w:name="List Number 4" w:semiHidden="1"/>
    <w:lsdException w:name="List Number 5" w:semiHidden="1"/>
    <w:lsdException w:name="Title" w:semiHidden="1" w:uiPriority="39"/>
    <w:lsdException w:name="Closing" w:semiHidden="1"/>
    <w:lsdException w:name="Signature" w:semiHidden="1"/>
    <w:lsdException w:name="Default Paragraph Font" w:locked="0" w:semiHidden="1" w:uiPriority="1" w:unhideWhenUsed="1"/>
    <w:lsdException w:name="Body Text" w:locked="0" w:semiHidden="1" w:uiPriority="39"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locked="0" w:semiHidden="1" w:unhideWhenUsed="1"/>
    <w:lsdException w:name="Strong" w:semiHidden="1" w:uiPriority="39" w:qFormat="1"/>
    <w:lsdException w:name="Emphasis" w:semiHidden="1"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locked="0" w:uiPriority="31" w:qFormat="1"/>
    <w:lsdException w:name="Intense Reference" w:locked="0" w:uiPriority="32" w:qFormat="1"/>
    <w:lsdException w:name="Book Title" w:semiHidden="1" w:uiPriority="33" w:qFormat="1"/>
    <w:lsdException w:name="Bibliography" w:semiHidden="1" w:uiPriority="37"/>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semiHidden/>
    <w:qFormat/>
    <w:rsid w:val="00CC68E9"/>
    <w:pPr>
      <w:spacing w:after="0" w:line="240" w:lineRule="auto"/>
    </w:pPr>
    <w:rPr>
      <w:sz w:val="19"/>
    </w:rPr>
  </w:style>
  <w:style w:type="paragraph" w:styleId="Heading1">
    <w:name w:val="heading 1"/>
    <w:basedOn w:val="Normal"/>
    <w:next w:val="BodytextRegular"/>
    <w:link w:val="Heading1Char"/>
    <w:uiPriority w:val="9"/>
    <w:semiHidden/>
    <w:qFormat/>
    <w:locked/>
    <w:rsid w:val="00664470"/>
    <w:pPr>
      <w:keepNext/>
      <w:pBdr>
        <w:bottom w:val="single" w:sz="8" w:space="1" w:color="63C532" w:themeColor="accent2"/>
      </w:pBdr>
      <w:tabs>
        <w:tab w:val="left" w:pos="1736"/>
      </w:tabs>
      <w:spacing w:after="240" w:line="276" w:lineRule="auto"/>
      <w:outlineLvl w:val="0"/>
    </w:pPr>
    <w:rPr>
      <w:rFonts w:asciiTheme="majorHAnsi" w:eastAsia="Times New Roman" w:hAnsiTheme="majorHAnsi" w:cs="Arial"/>
      <w:bCs/>
      <w:color w:val="A446BA" w:themeColor="text2"/>
      <w:kern w:val="32"/>
      <w:sz w:val="28"/>
      <w:szCs w:val="32"/>
    </w:rPr>
  </w:style>
  <w:style w:type="paragraph" w:styleId="Heading2">
    <w:name w:val="heading 2"/>
    <w:basedOn w:val="Normal"/>
    <w:next w:val="BodytextRegular"/>
    <w:link w:val="Heading2Char"/>
    <w:uiPriority w:val="39"/>
    <w:semiHidden/>
    <w:locked/>
    <w:rsid w:val="00664470"/>
    <w:pPr>
      <w:keepNext/>
      <w:tabs>
        <w:tab w:val="left" w:pos="1736"/>
      </w:tabs>
      <w:spacing w:before="120" w:after="120" w:line="320" w:lineRule="exact"/>
      <w:outlineLvl w:val="1"/>
    </w:pPr>
    <w:rPr>
      <w:rFonts w:asciiTheme="majorHAnsi" w:eastAsia="Times New Roman" w:hAnsiTheme="majorHAnsi" w:cs="Arial"/>
      <w:bCs/>
      <w:iCs/>
      <w:color w:val="001E41" w:themeColor="accent1"/>
      <w:sz w:val="24"/>
      <w:szCs w:val="28"/>
    </w:rPr>
  </w:style>
  <w:style w:type="paragraph" w:styleId="Heading3">
    <w:name w:val="heading 3"/>
    <w:basedOn w:val="Normal"/>
    <w:next w:val="BodytextRegular"/>
    <w:link w:val="Heading3Char"/>
    <w:autoRedefine/>
    <w:uiPriority w:val="39"/>
    <w:semiHidden/>
    <w:locked/>
    <w:rsid w:val="00AD758E"/>
    <w:pPr>
      <w:keepNext/>
      <w:spacing w:before="120" w:after="120"/>
      <w:outlineLvl w:val="2"/>
    </w:pPr>
    <w:rPr>
      <w:rFonts w:asciiTheme="majorHAnsi" w:eastAsia="Times New Roman" w:hAnsiTheme="majorHAnsi" w:cs="Arial"/>
      <w:bCs/>
      <w:color w:val="001E41" w:themeColor="accent1"/>
      <w:spacing w:val="-6"/>
      <w:sz w:val="22"/>
      <w:lang w:eastAsia="ja-JP"/>
    </w:rPr>
  </w:style>
  <w:style w:type="paragraph" w:styleId="Heading4">
    <w:name w:val="heading 4"/>
    <w:basedOn w:val="Normal"/>
    <w:next w:val="BodyText"/>
    <w:link w:val="Heading4Char"/>
    <w:uiPriority w:val="39"/>
    <w:semiHidden/>
    <w:qFormat/>
    <w:locked/>
    <w:rsid w:val="00AD758E"/>
    <w:pPr>
      <w:keepNext/>
      <w:keepLines/>
      <w:spacing w:before="200"/>
      <w:outlineLvl w:val="3"/>
    </w:pPr>
    <w:rPr>
      <w:rFonts w:asciiTheme="majorHAnsi" w:eastAsiaTheme="majorEastAsia" w:hAnsiTheme="majorHAnsi" w:cstheme="majorBidi"/>
      <w:b/>
      <w:bCs/>
      <w:iCs/>
      <w:color w:val="0074B7" w:themeColor="accent3"/>
    </w:rPr>
  </w:style>
  <w:style w:type="paragraph" w:styleId="Heading5">
    <w:name w:val="heading 5"/>
    <w:basedOn w:val="Normal"/>
    <w:next w:val="Normal"/>
    <w:link w:val="Heading5Char"/>
    <w:uiPriority w:val="39"/>
    <w:semiHidden/>
    <w:locked/>
    <w:rsid w:val="00AD758E"/>
    <w:pPr>
      <w:keepNext/>
      <w:keepLines/>
      <w:spacing w:before="200"/>
      <w:outlineLvl w:val="4"/>
    </w:pPr>
    <w:rPr>
      <w:rFonts w:asciiTheme="majorHAnsi" w:eastAsiaTheme="majorEastAsia" w:hAnsiTheme="majorHAnsi" w:cstheme="majorBidi"/>
      <w:color w:val="001E4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next w:val="BodytextRegular"/>
    <w:uiPriority w:val="27"/>
    <w:qFormat/>
    <w:rsid w:val="0095184E"/>
    <w:pPr>
      <w:framePr w:hSpace="180" w:wrap="around" w:vAnchor="text" w:hAnchor="text" w:x="-6" w:y="1"/>
      <w:spacing w:line="216" w:lineRule="auto"/>
      <w:ind w:left="113"/>
      <w:suppressOverlap/>
    </w:pPr>
    <w:rPr>
      <w:rFonts w:ascii="Schroders Circular TT" w:hAnsi="Schroders Circular TT" w:cs="Schroders Circular TT Black"/>
      <w:color w:val="FFFFFF" w:themeColor="background1"/>
      <w:sz w:val="48"/>
      <w:szCs w:val="36"/>
      <w:lang w:val="fr-CH"/>
    </w:rPr>
  </w:style>
  <w:style w:type="paragraph" w:customStyle="1" w:styleId="Documentsubtitle">
    <w:name w:val="Document subtitle"/>
    <w:basedOn w:val="BodytextRegular"/>
    <w:next w:val="BodytextRegular"/>
    <w:uiPriority w:val="28"/>
    <w:qFormat/>
    <w:rsid w:val="0095184E"/>
    <w:rPr>
      <w:rFonts w:ascii="Schroders Circular TT" w:hAnsi="Schroders Circular TT"/>
      <w:color w:val="00A2B5" w:themeColor="background2"/>
      <w:sz w:val="28"/>
      <w:szCs w:val="32"/>
    </w:rPr>
  </w:style>
  <w:style w:type="character" w:customStyle="1" w:styleId="Heading1Char">
    <w:name w:val="Heading 1 Char"/>
    <w:basedOn w:val="DefaultParagraphFont"/>
    <w:link w:val="Heading1"/>
    <w:uiPriority w:val="9"/>
    <w:semiHidden/>
    <w:rsid w:val="00261FA2"/>
    <w:rPr>
      <w:rFonts w:asciiTheme="majorHAnsi" w:eastAsia="Times New Roman" w:hAnsiTheme="majorHAnsi" w:cs="Arial"/>
      <w:bCs/>
      <w:color w:val="002A5E"/>
      <w:kern w:val="32"/>
      <w:sz w:val="36"/>
      <w:szCs w:val="32"/>
    </w:rPr>
  </w:style>
  <w:style w:type="character" w:customStyle="1" w:styleId="Heading2Char">
    <w:name w:val="Heading 2 Char"/>
    <w:basedOn w:val="DefaultParagraphFont"/>
    <w:link w:val="Heading2"/>
    <w:uiPriority w:val="39"/>
    <w:semiHidden/>
    <w:rsid w:val="005245EE"/>
    <w:rPr>
      <w:rFonts w:asciiTheme="majorHAnsi" w:eastAsia="Times New Roman" w:hAnsiTheme="majorHAnsi" w:cs="Arial"/>
      <w:bCs/>
      <w:iCs/>
      <w:color w:val="0074B7" w:themeColor="accent3"/>
      <w:szCs w:val="28"/>
    </w:rPr>
  </w:style>
  <w:style w:type="character" w:customStyle="1" w:styleId="Heading3Char">
    <w:name w:val="Heading 3 Char"/>
    <w:basedOn w:val="DefaultParagraphFont"/>
    <w:link w:val="Heading3"/>
    <w:uiPriority w:val="39"/>
    <w:semiHidden/>
    <w:rsid w:val="00AD758E"/>
    <w:rPr>
      <w:rFonts w:asciiTheme="majorHAnsi" w:eastAsia="Times New Roman" w:hAnsiTheme="majorHAnsi" w:cs="Arial"/>
      <w:bCs/>
      <w:color w:val="001E41" w:themeColor="accent1"/>
      <w:spacing w:val="-6"/>
      <w:lang w:eastAsia="ja-JP"/>
    </w:rPr>
  </w:style>
  <w:style w:type="character" w:customStyle="1" w:styleId="Heading4Char">
    <w:name w:val="Heading 4 Char"/>
    <w:basedOn w:val="DefaultParagraphFont"/>
    <w:link w:val="Heading4"/>
    <w:uiPriority w:val="39"/>
    <w:semiHidden/>
    <w:rsid w:val="00AD758E"/>
    <w:rPr>
      <w:rFonts w:asciiTheme="majorHAnsi" w:eastAsiaTheme="majorEastAsia" w:hAnsiTheme="majorHAnsi" w:cstheme="majorBidi"/>
      <w:b/>
      <w:bCs/>
      <w:iCs/>
      <w:color w:val="0074B7" w:themeColor="accent3"/>
      <w:sz w:val="19"/>
    </w:rPr>
  </w:style>
  <w:style w:type="paragraph" w:styleId="BodyText">
    <w:name w:val="Body Text"/>
    <w:basedOn w:val="Normal"/>
    <w:link w:val="BodyTextChar"/>
    <w:uiPriority w:val="39"/>
    <w:semiHidden/>
    <w:locked/>
    <w:rsid w:val="00852601"/>
    <w:pPr>
      <w:spacing w:after="120"/>
    </w:pPr>
  </w:style>
  <w:style w:type="character" w:customStyle="1" w:styleId="BodyTextChar">
    <w:name w:val="Body Text Char"/>
    <w:basedOn w:val="DefaultParagraphFont"/>
    <w:link w:val="BodyText"/>
    <w:uiPriority w:val="39"/>
    <w:semiHidden/>
    <w:rsid w:val="00852601"/>
    <w:rPr>
      <w:sz w:val="19"/>
    </w:rPr>
  </w:style>
  <w:style w:type="paragraph" w:styleId="ListBullet">
    <w:name w:val="List Bullet"/>
    <w:basedOn w:val="Normal"/>
    <w:uiPriority w:val="99"/>
    <w:semiHidden/>
    <w:locked/>
    <w:rsid w:val="00E64E0C"/>
    <w:pPr>
      <w:numPr>
        <w:numId w:val="1"/>
      </w:numPr>
      <w:ind w:left="227" w:hanging="227"/>
      <w:contextualSpacing/>
    </w:pPr>
  </w:style>
  <w:style w:type="paragraph" w:styleId="ListBullet2">
    <w:name w:val="List Bullet 2"/>
    <w:basedOn w:val="Normal"/>
    <w:uiPriority w:val="99"/>
    <w:semiHidden/>
    <w:locked/>
    <w:rsid w:val="00E64E0C"/>
    <w:pPr>
      <w:numPr>
        <w:numId w:val="2"/>
      </w:numPr>
      <w:ind w:left="454" w:hanging="227"/>
      <w:contextualSpacing/>
    </w:pPr>
  </w:style>
  <w:style w:type="paragraph" w:styleId="ListBullet3">
    <w:name w:val="List Bullet 3"/>
    <w:basedOn w:val="Normal"/>
    <w:uiPriority w:val="99"/>
    <w:locked/>
    <w:rsid w:val="00E64E0C"/>
    <w:pPr>
      <w:numPr>
        <w:numId w:val="3"/>
      </w:numPr>
      <w:ind w:left="681" w:hanging="227"/>
      <w:contextualSpacing/>
    </w:pPr>
  </w:style>
  <w:style w:type="paragraph" w:styleId="ListBullet4">
    <w:name w:val="List Bullet 4"/>
    <w:basedOn w:val="Normal"/>
    <w:uiPriority w:val="99"/>
    <w:semiHidden/>
    <w:locked/>
    <w:rsid w:val="00E64E0C"/>
    <w:pPr>
      <w:numPr>
        <w:numId w:val="4"/>
      </w:numPr>
      <w:ind w:left="907" w:hanging="227"/>
      <w:contextualSpacing/>
    </w:pPr>
  </w:style>
  <w:style w:type="paragraph" w:styleId="ListBullet5">
    <w:name w:val="List Bullet 5"/>
    <w:basedOn w:val="Normal"/>
    <w:uiPriority w:val="99"/>
    <w:semiHidden/>
    <w:locked/>
    <w:rsid w:val="00E64E0C"/>
    <w:pPr>
      <w:numPr>
        <w:numId w:val="5"/>
      </w:numPr>
      <w:ind w:left="1134" w:hanging="227"/>
      <w:contextualSpacing/>
    </w:pPr>
  </w:style>
  <w:style w:type="table" w:styleId="TableGrid">
    <w:name w:val="Table Grid"/>
    <w:basedOn w:val="TableNormal"/>
    <w:uiPriority w:val="39"/>
    <w:locked/>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39"/>
    <w:semiHidden/>
    <w:locked/>
    <w:rsid w:val="0093189A"/>
    <w:rPr>
      <w:rFonts w:asciiTheme="minorHAnsi" w:hAnsiTheme="minorHAnsi"/>
      <w:b/>
      <w:color w:val="001E41" w:themeColor="accent1"/>
      <w:sz w:val="16"/>
    </w:rPr>
  </w:style>
  <w:style w:type="paragraph" w:customStyle="1" w:styleId="Chartandtablesubtitle">
    <w:name w:val="Chart and table subtitle"/>
    <w:basedOn w:val="Tabletext"/>
    <w:next w:val="BodyText"/>
    <w:uiPriority w:val="18"/>
    <w:qFormat/>
    <w:rsid w:val="001A51FE"/>
    <w:rPr>
      <w:rFonts w:eastAsia="Times New Roman" w:cstheme="minorHAnsi"/>
      <w:lang w:eastAsia="ja-JP"/>
    </w:rPr>
  </w:style>
  <w:style w:type="paragraph" w:styleId="BalloonText">
    <w:name w:val="Balloon Text"/>
    <w:basedOn w:val="Normal"/>
    <w:link w:val="BalloonTextChar"/>
    <w:uiPriority w:val="99"/>
    <w:semiHidden/>
    <w:locked/>
    <w:rsid w:val="00C01FD9"/>
    <w:rPr>
      <w:rFonts w:ascii="Tahoma" w:hAnsi="Tahoma" w:cs="Tahoma"/>
      <w:sz w:val="16"/>
      <w:szCs w:val="16"/>
    </w:rPr>
  </w:style>
  <w:style w:type="character" w:customStyle="1" w:styleId="BalloonTextChar">
    <w:name w:val="Balloon Text Char"/>
    <w:basedOn w:val="DefaultParagraphFont"/>
    <w:link w:val="BalloonText"/>
    <w:uiPriority w:val="99"/>
    <w:semiHidden/>
    <w:rsid w:val="00384AD6"/>
    <w:rPr>
      <w:rFonts w:ascii="Tahoma" w:hAnsi="Tahoma" w:cs="Tahoma"/>
      <w:sz w:val="16"/>
      <w:szCs w:val="16"/>
    </w:rPr>
  </w:style>
  <w:style w:type="paragraph" w:customStyle="1" w:styleId="TableTextBold">
    <w:name w:val="Table Text Bold"/>
    <w:basedOn w:val="Normal"/>
    <w:uiPriority w:val="39"/>
    <w:semiHidden/>
    <w:qFormat/>
    <w:locked/>
    <w:rsid w:val="004977F0"/>
    <w:pPr>
      <w:tabs>
        <w:tab w:val="left" w:pos="3402"/>
      </w:tabs>
      <w:spacing w:before="60" w:after="60"/>
    </w:pPr>
    <w:rPr>
      <w:b/>
      <w:sz w:val="20"/>
      <w:lang w:eastAsia="ja-JP"/>
    </w:rPr>
  </w:style>
  <w:style w:type="paragraph" w:styleId="TOC1">
    <w:name w:val="toc 1"/>
    <w:aliases w:val="Table of Contents Level 1"/>
    <w:basedOn w:val="Normal"/>
    <w:next w:val="BodytextRegular"/>
    <w:autoRedefine/>
    <w:uiPriority w:val="39"/>
    <w:semiHidden/>
    <w:qFormat/>
    <w:rsid w:val="009510E0"/>
    <w:pPr>
      <w:tabs>
        <w:tab w:val="left" w:pos="425"/>
        <w:tab w:val="left" w:pos="1701"/>
        <w:tab w:val="right" w:leader="dot" w:pos="9923"/>
      </w:tabs>
      <w:spacing w:before="240" w:after="120"/>
      <w:ind w:left="1701" w:hanging="1701"/>
    </w:pPr>
    <w:rPr>
      <w:rFonts w:eastAsia="Times New Roman" w:cs="Arial"/>
      <w:b/>
      <w:noProof/>
      <w:color w:val="002A5E"/>
      <w:spacing w:val="-6"/>
      <w:sz w:val="24"/>
      <w:lang w:eastAsia="ja-JP"/>
    </w:rPr>
  </w:style>
  <w:style w:type="paragraph" w:customStyle="1" w:styleId="Tabletextunbold">
    <w:name w:val="Table text unbold"/>
    <w:basedOn w:val="TableTextBold"/>
    <w:uiPriority w:val="39"/>
    <w:semiHidden/>
    <w:locked/>
    <w:rsid w:val="004977F0"/>
    <w:pPr>
      <w:tabs>
        <w:tab w:val="clear" w:pos="3402"/>
        <w:tab w:val="left" w:pos="357"/>
      </w:tabs>
      <w:spacing w:before="40" w:after="40"/>
    </w:pPr>
    <w:rPr>
      <w:rFonts w:eastAsia="Times New Roman" w:cs="Arial"/>
      <w:b w:val="0"/>
    </w:rPr>
  </w:style>
  <w:style w:type="paragraph" w:styleId="TOC2">
    <w:name w:val="toc 2"/>
    <w:aliases w:val="Table of Contents Level 2"/>
    <w:basedOn w:val="Normal"/>
    <w:next w:val="Normal"/>
    <w:autoRedefine/>
    <w:uiPriority w:val="39"/>
    <w:semiHidden/>
    <w:qFormat/>
    <w:rsid w:val="003F25ED"/>
    <w:pPr>
      <w:tabs>
        <w:tab w:val="left" w:pos="992"/>
        <w:tab w:val="right" w:leader="dot" w:pos="9923"/>
      </w:tabs>
      <w:spacing w:before="60"/>
      <w:ind w:left="992" w:hanging="567"/>
    </w:pPr>
    <w:rPr>
      <w:rFonts w:eastAsiaTheme="minorEastAsia"/>
      <w:noProof/>
      <w:color w:val="001E41" w:themeColor="accent1"/>
      <w:sz w:val="22"/>
      <w:lang w:eastAsia="en-GB"/>
    </w:rPr>
  </w:style>
  <w:style w:type="character" w:styleId="Hyperlink">
    <w:name w:val="Hyperlink"/>
    <w:basedOn w:val="DefaultParagraphFont"/>
    <w:uiPriority w:val="99"/>
    <w:locked/>
    <w:rsid w:val="0095184E"/>
    <w:rPr>
      <w:color w:val="001E41" w:themeColor="accent1"/>
      <w:u w:val="single"/>
    </w:rPr>
  </w:style>
  <w:style w:type="paragraph" w:styleId="TOC3">
    <w:name w:val="toc 3"/>
    <w:aliases w:val="Table of Contents Level 3"/>
    <w:basedOn w:val="Normal"/>
    <w:next w:val="Normal"/>
    <w:autoRedefine/>
    <w:uiPriority w:val="39"/>
    <w:semiHidden/>
    <w:qFormat/>
    <w:rsid w:val="00105004"/>
    <w:pPr>
      <w:tabs>
        <w:tab w:val="left" w:pos="992"/>
        <w:tab w:val="right" w:leader="dot" w:pos="9923"/>
      </w:tabs>
      <w:spacing w:before="60"/>
      <w:ind w:left="993" w:hanging="568"/>
    </w:pPr>
    <w:rPr>
      <w:rFonts w:eastAsiaTheme="majorEastAsia" w:cstheme="majorHAnsi"/>
      <w:noProof/>
      <w:color w:val="002A5E"/>
      <w:sz w:val="22"/>
      <w:szCs w:val="24"/>
    </w:rPr>
  </w:style>
  <w:style w:type="character" w:customStyle="1" w:styleId="Heading5Char">
    <w:name w:val="Heading 5 Char"/>
    <w:basedOn w:val="DefaultParagraphFont"/>
    <w:link w:val="Heading5"/>
    <w:uiPriority w:val="39"/>
    <w:semiHidden/>
    <w:rsid w:val="00C05D0F"/>
    <w:rPr>
      <w:rFonts w:asciiTheme="majorHAnsi" w:eastAsiaTheme="majorEastAsia" w:hAnsiTheme="majorHAnsi" w:cstheme="majorBidi"/>
      <w:color w:val="001E41" w:themeColor="accent1"/>
      <w:sz w:val="19"/>
    </w:rPr>
  </w:style>
  <w:style w:type="paragraph" w:styleId="TOCHeading">
    <w:name w:val="TOC Heading"/>
    <w:next w:val="Normal"/>
    <w:uiPriority w:val="30"/>
    <w:semiHidden/>
    <w:qFormat/>
    <w:rsid w:val="001B725E"/>
    <w:pPr>
      <w:keepLines/>
      <w:spacing w:before="480" w:after="0"/>
    </w:pPr>
    <w:rPr>
      <w:rFonts w:asciiTheme="majorHAnsi" w:eastAsiaTheme="majorEastAsia" w:hAnsiTheme="majorHAnsi" w:cstheme="majorBidi"/>
      <w:color w:val="63C532" w:themeColor="accent2"/>
      <w:sz w:val="40"/>
      <w:szCs w:val="28"/>
    </w:rPr>
  </w:style>
  <w:style w:type="paragraph" w:customStyle="1" w:styleId="Disclaimertext">
    <w:name w:val="Disclaimer text"/>
    <w:next w:val="BodyText"/>
    <w:uiPriority w:val="24"/>
    <w:rsid w:val="00EF192B"/>
    <w:pPr>
      <w:tabs>
        <w:tab w:val="left" w:pos="3402"/>
      </w:tabs>
      <w:spacing w:before="60" w:after="0" w:line="190" w:lineRule="exact"/>
    </w:pPr>
    <w:rPr>
      <w:rFonts w:eastAsia="Times New Roman" w:cs="Arial"/>
      <w:sz w:val="16"/>
      <w:szCs w:val="17"/>
    </w:rPr>
  </w:style>
  <w:style w:type="character" w:styleId="PlaceholderText">
    <w:name w:val="Placeholder Text"/>
    <w:basedOn w:val="DefaultParagraphFont"/>
    <w:uiPriority w:val="99"/>
    <w:semiHidden/>
    <w:locked/>
    <w:rsid w:val="00D77720"/>
    <w:rPr>
      <w:color w:val="808080"/>
    </w:rPr>
  </w:style>
  <w:style w:type="paragraph" w:customStyle="1" w:styleId="NumerallistRegular">
    <w:name w:val="Numeral list (Regular)"/>
    <w:basedOn w:val="LetteredlistRegular"/>
    <w:uiPriority w:val="15"/>
    <w:qFormat/>
    <w:rsid w:val="00953A48"/>
    <w:pPr>
      <w:numPr>
        <w:numId w:val="21"/>
      </w:numPr>
    </w:pPr>
  </w:style>
  <w:style w:type="paragraph" w:customStyle="1" w:styleId="NumerallistBold">
    <w:name w:val="Numeral list (Bold)"/>
    <w:basedOn w:val="LetteredlistBold"/>
    <w:uiPriority w:val="16"/>
    <w:qFormat/>
    <w:rsid w:val="00CD6C35"/>
    <w:pPr>
      <w:numPr>
        <w:numId w:val="20"/>
      </w:numPr>
    </w:pPr>
  </w:style>
  <w:style w:type="paragraph" w:customStyle="1" w:styleId="Sourcetext">
    <w:name w:val="Source text."/>
    <w:basedOn w:val="Normal"/>
    <w:uiPriority w:val="22"/>
    <w:qFormat/>
    <w:rsid w:val="001A51FE"/>
    <w:pPr>
      <w:spacing w:before="60" w:line="190" w:lineRule="exact"/>
    </w:pPr>
    <w:rPr>
      <w:sz w:val="16"/>
      <w:szCs w:val="17"/>
    </w:rPr>
  </w:style>
  <w:style w:type="paragraph" w:customStyle="1" w:styleId="Prussiannavyfootertextright">
    <w:name w:val="Prussian navy footer text (right)"/>
    <w:basedOn w:val="Normal"/>
    <w:uiPriority w:val="33"/>
    <w:qFormat/>
    <w:rsid w:val="0095184E"/>
    <w:pPr>
      <w:ind w:right="170"/>
      <w:jc w:val="right"/>
    </w:pPr>
    <w:rPr>
      <w:bCs/>
      <w:color w:val="001E41" w:themeColor="accent1"/>
      <w:sz w:val="16"/>
      <w:szCs w:val="16"/>
      <w:lang w:eastAsia="ja-JP"/>
    </w:rPr>
  </w:style>
  <w:style w:type="paragraph" w:customStyle="1" w:styleId="TabletextBold0">
    <w:name w:val="Table text (Bold)"/>
    <w:basedOn w:val="Tabletext"/>
    <w:uiPriority w:val="20"/>
    <w:qFormat/>
    <w:rsid w:val="00543CFC"/>
    <w:rPr>
      <w:b/>
      <w:bCs/>
      <w:color w:val="000000" w:themeColor="text1"/>
    </w:rPr>
  </w:style>
  <w:style w:type="paragraph" w:customStyle="1" w:styleId="LetteredlistRegular">
    <w:name w:val="Lettered list (Regular)"/>
    <w:uiPriority w:val="13"/>
    <w:rsid w:val="000172FF"/>
    <w:pPr>
      <w:numPr>
        <w:numId w:val="11"/>
      </w:numPr>
      <w:spacing w:after="120" w:line="240" w:lineRule="auto"/>
    </w:pPr>
    <w:rPr>
      <w:rFonts w:eastAsia="Times New Roman" w:cs="Arial"/>
      <w:color w:val="000000"/>
      <w:sz w:val="18"/>
      <w:lang w:eastAsia="ja-JP"/>
    </w:rPr>
  </w:style>
  <w:style w:type="paragraph" w:customStyle="1" w:styleId="LetteredlistBold">
    <w:name w:val="Lettered list (Bold)"/>
    <w:uiPriority w:val="14"/>
    <w:qFormat/>
    <w:rsid w:val="000172FF"/>
    <w:pPr>
      <w:numPr>
        <w:numId w:val="17"/>
      </w:numPr>
      <w:spacing w:after="120" w:line="240" w:lineRule="auto"/>
    </w:pPr>
    <w:rPr>
      <w:rFonts w:eastAsia="Times New Roman" w:cs="Arial"/>
      <w:b/>
      <w:bCs/>
      <w:color w:val="000000"/>
      <w:sz w:val="18"/>
      <w:szCs w:val="20"/>
      <w:lang w:eastAsia="ja-JP"/>
    </w:rPr>
  </w:style>
  <w:style w:type="paragraph" w:customStyle="1" w:styleId="BulletedtextRegular">
    <w:name w:val="Bulleted text (Regular)"/>
    <w:basedOn w:val="Normal"/>
    <w:uiPriority w:val="9"/>
    <w:qFormat/>
    <w:rsid w:val="005C0F02"/>
    <w:pPr>
      <w:numPr>
        <w:numId w:val="6"/>
      </w:numPr>
      <w:spacing w:after="120"/>
    </w:pPr>
    <w:rPr>
      <w:rFonts w:eastAsia="Times New Roman" w:cs="Arial"/>
      <w:sz w:val="18"/>
      <w:lang w:eastAsia="ja-JP"/>
    </w:rPr>
  </w:style>
  <w:style w:type="paragraph" w:customStyle="1" w:styleId="Bodytextforindentedparagraph">
    <w:name w:val="Body text for indented paragraph"/>
    <w:basedOn w:val="BodytextRegular"/>
    <w:qFormat/>
    <w:rsid w:val="006F71F5"/>
    <w:pPr>
      <w:ind w:left="425"/>
    </w:pPr>
    <w:rPr>
      <w:rFonts w:eastAsia="Times New Roman" w:cs="Arial"/>
    </w:rPr>
  </w:style>
  <w:style w:type="paragraph" w:customStyle="1" w:styleId="BulletedtextBold">
    <w:name w:val="Bulleted text (Bold)"/>
    <w:basedOn w:val="BulletedtextRegular"/>
    <w:uiPriority w:val="10"/>
    <w:qFormat/>
    <w:rsid w:val="00CD6C35"/>
    <w:rPr>
      <w:b/>
    </w:rPr>
  </w:style>
  <w:style w:type="paragraph" w:customStyle="1" w:styleId="NumberedlistRegular">
    <w:name w:val="Numbered list (Regular)"/>
    <w:basedOn w:val="Normal"/>
    <w:uiPriority w:val="12"/>
    <w:qFormat/>
    <w:rsid w:val="000172FF"/>
    <w:pPr>
      <w:numPr>
        <w:numId w:val="7"/>
      </w:numPr>
      <w:spacing w:after="120"/>
    </w:pPr>
    <w:rPr>
      <w:rFonts w:eastAsia="Times New Roman" w:cs="Arial"/>
      <w:sz w:val="18"/>
      <w:lang w:eastAsia="ja-JP"/>
    </w:rPr>
  </w:style>
  <w:style w:type="paragraph" w:customStyle="1" w:styleId="Paragraphheaderprussiannavy">
    <w:name w:val="Paragraph header prussian navy"/>
    <w:basedOn w:val="Normal"/>
    <w:next w:val="BodytextRegular"/>
    <w:uiPriority w:val="7"/>
    <w:qFormat/>
    <w:rsid w:val="0095184E"/>
    <w:pPr>
      <w:keepNext/>
      <w:spacing w:before="240" w:after="120"/>
    </w:pPr>
    <w:rPr>
      <w:rFonts w:ascii="Schroders Circular TT" w:hAnsi="Schroders Circular TT"/>
      <w:b/>
      <w:color w:val="001E41" w:themeColor="accent1"/>
      <w:sz w:val="20"/>
      <w:szCs w:val="24"/>
    </w:rPr>
  </w:style>
  <w:style w:type="paragraph" w:customStyle="1" w:styleId="Tabletext">
    <w:name w:val="Table text"/>
    <w:uiPriority w:val="19"/>
    <w:qFormat/>
    <w:rsid w:val="001A51FE"/>
    <w:pPr>
      <w:spacing w:before="60" w:after="60" w:line="240" w:lineRule="auto"/>
    </w:pPr>
    <w:rPr>
      <w:sz w:val="18"/>
      <w:szCs w:val="24"/>
    </w:rPr>
  </w:style>
  <w:style w:type="paragraph" w:customStyle="1" w:styleId="BodytextRegular">
    <w:name w:val="Body text (Regular)"/>
    <w:basedOn w:val="BodyText"/>
    <w:qFormat/>
    <w:rsid w:val="001A51FE"/>
    <w:rPr>
      <w:sz w:val="18"/>
      <w:szCs w:val="20"/>
    </w:rPr>
  </w:style>
  <w:style w:type="table" w:customStyle="1" w:styleId="Table">
    <w:name w:val="Table"/>
    <w:basedOn w:val="TableNormal"/>
    <w:uiPriority w:val="99"/>
    <w:locked/>
    <w:rsid w:val="00F805CD"/>
    <w:pPr>
      <w:spacing w:before="60" w:after="60" w:line="240" w:lineRule="auto"/>
    </w:pPr>
    <w:rPr>
      <w:sz w:val="18"/>
    </w:rPr>
    <w:tblPr>
      <w:tblStyleRowBandSize w:val="1"/>
      <w:tblStyleColBandSize w:val="1"/>
      <w:tblBorders>
        <w:top w:val="single" w:sz="2" w:space="0" w:color="404040" w:themeColor="text1" w:themeTint="BF"/>
        <w:bottom w:val="single" w:sz="2" w:space="0" w:color="404040" w:themeColor="text1" w:themeTint="BF"/>
        <w:insideH w:val="single" w:sz="2" w:space="0" w:color="404040" w:themeColor="text1" w:themeTint="BF"/>
      </w:tblBorders>
      <w:tblCellMar>
        <w:left w:w="74" w:type="dxa"/>
        <w:right w:w="74" w:type="dxa"/>
      </w:tblCellMar>
    </w:tblPr>
    <w:tcPr>
      <w:shd w:val="clear" w:color="auto" w:fill="auto"/>
      <w:vAlign w:val="center"/>
    </w:tcPr>
    <w:tblStylePr w:type="fir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la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firstCol">
      <w:pPr>
        <w:wordWrap/>
        <w:spacing w:beforeLines="0" w:before="60" w:beforeAutospacing="0" w:afterLines="0" w:after="60" w:afterAutospacing="0" w:line="240" w:lineRule="auto"/>
        <w:jc w:val="left"/>
      </w:pPr>
      <w:rPr>
        <w:rFonts w:asciiTheme="minorHAnsi" w:hAnsiTheme="minorHAnsi"/>
        <w:b/>
        <w:color w:val="auto"/>
        <w:sz w:val="18"/>
      </w:rPr>
      <w:tblPr/>
      <w:tcPr>
        <w:shd w:val="clear" w:color="auto" w:fill="E5E8EC"/>
      </w:tcPr>
    </w:tblStylePr>
    <w:tblStylePr w:type="band1Vert">
      <w:tblPr/>
      <w:tcPr>
        <w:tcBorders>
          <w:top w:val="nil"/>
          <w:left w:val="nil"/>
          <w:bottom w:val="nil"/>
          <w:right w:val="nil"/>
          <w:insideH w:val="single" w:sz="4" w:space="0" w:color="001E41" w:themeColor="accent1"/>
          <w:insideV w:val="nil"/>
        </w:tcBorders>
      </w:tcPr>
    </w:tblStylePr>
    <w:tblStylePr w:type="band2Vert">
      <w:tblPr/>
      <w:tcPr>
        <w:tcBorders>
          <w:insideH w:val="single" w:sz="4" w:space="0" w:color="001E41" w:themeColor="accent1"/>
        </w:tcBorders>
      </w:tcPr>
    </w:tblStylePr>
    <w:tblStylePr w:type="band1Horz">
      <w:tblPr/>
      <w:tcPr>
        <w:tcBorders>
          <w:insideH w:val="nil"/>
        </w:tcBorders>
      </w:tcPr>
    </w:tblStylePr>
  </w:style>
  <w:style w:type="paragraph" w:customStyle="1" w:styleId="Level3heading">
    <w:name w:val="Level 3 heading"/>
    <w:basedOn w:val="Normal"/>
    <w:uiPriority w:val="23"/>
    <w:semiHidden/>
    <w:qFormat/>
    <w:rsid w:val="00664470"/>
    <w:pPr>
      <w:spacing w:before="120" w:after="120" w:line="300" w:lineRule="exact"/>
      <w:outlineLvl w:val="2"/>
    </w:pPr>
    <w:rPr>
      <w:rFonts w:asciiTheme="majorHAnsi" w:hAnsiTheme="majorHAnsi"/>
      <w:color w:val="A446BA" w:themeColor="text2"/>
      <w:sz w:val="24"/>
      <w:szCs w:val="20"/>
    </w:rPr>
  </w:style>
  <w:style w:type="paragraph" w:customStyle="1" w:styleId="Coverdate">
    <w:name w:val="Cover date"/>
    <w:basedOn w:val="Normal"/>
    <w:next w:val="BodyText"/>
    <w:uiPriority w:val="29"/>
    <w:qFormat/>
    <w:rsid w:val="001A51FE"/>
    <w:pPr>
      <w:spacing w:after="40"/>
    </w:pPr>
    <w:rPr>
      <w:rFonts w:ascii="Schroders Circular TT" w:hAnsi="Schroders Circular TT"/>
      <w:noProof/>
      <w:color w:val="FFFFFF" w:themeColor="background1"/>
      <w:sz w:val="24"/>
    </w:rPr>
  </w:style>
  <w:style w:type="paragraph" w:styleId="FootnoteText">
    <w:name w:val="footnote text"/>
    <w:aliases w:val="Footnote text"/>
    <w:basedOn w:val="Normal"/>
    <w:link w:val="FootnoteTextChar"/>
    <w:uiPriority w:val="23"/>
    <w:locked/>
    <w:rsid w:val="00B405C5"/>
    <w:pPr>
      <w:spacing w:before="60" w:line="190" w:lineRule="exact"/>
    </w:pPr>
    <w:rPr>
      <w:sz w:val="16"/>
      <w:szCs w:val="20"/>
    </w:rPr>
  </w:style>
  <w:style w:type="character" w:customStyle="1" w:styleId="FootnoteTextChar">
    <w:name w:val="Footnote Text Char"/>
    <w:aliases w:val="Footnote text Char"/>
    <w:basedOn w:val="DefaultParagraphFont"/>
    <w:link w:val="FootnoteText"/>
    <w:uiPriority w:val="23"/>
    <w:rsid w:val="00B405C5"/>
    <w:rPr>
      <w:sz w:val="16"/>
      <w:szCs w:val="20"/>
    </w:rPr>
  </w:style>
  <w:style w:type="character" w:styleId="FootnoteReference">
    <w:name w:val="footnote reference"/>
    <w:basedOn w:val="DefaultParagraphFont"/>
    <w:uiPriority w:val="99"/>
    <w:semiHidden/>
    <w:locked/>
    <w:rsid w:val="00D47DFF"/>
    <w:rPr>
      <w:vertAlign w:val="superscript"/>
    </w:rPr>
  </w:style>
  <w:style w:type="paragraph" w:customStyle="1" w:styleId="Tabletextbullet">
    <w:name w:val="Table text bullet"/>
    <w:basedOn w:val="Tabletext"/>
    <w:uiPriority w:val="21"/>
    <w:qFormat/>
    <w:rsid w:val="000E31CE"/>
    <w:pPr>
      <w:numPr>
        <w:numId w:val="23"/>
      </w:numPr>
      <w:ind w:left="284" w:hanging="284"/>
    </w:pPr>
  </w:style>
  <w:style w:type="numbering" w:customStyle="1" w:styleId="b17legalnumberedlist">
    <w:name w:val="b17 legal numbered list"/>
    <w:basedOn w:val="NoList"/>
    <w:uiPriority w:val="99"/>
    <w:locked/>
    <w:rsid w:val="00B7273A"/>
    <w:pPr>
      <w:numPr>
        <w:numId w:val="26"/>
      </w:numPr>
    </w:pPr>
  </w:style>
  <w:style w:type="paragraph" w:customStyle="1" w:styleId="Sub-bulletedtext">
    <w:name w:val="Sub-bulleted text"/>
    <w:basedOn w:val="BodytextRegular"/>
    <w:uiPriority w:val="11"/>
    <w:qFormat/>
    <w:rsid w:val="00953A48"/>
    <w:pPr>
      <w:numPr>
        <w:numId w:val="27"/>
      </w:numPr>
      <w:ind w:left="709" w:hanging="284"/>
    </w:pPr>
  </w:style>
  <w:style w:type="paragraph" w:customStyle="1" w:styleId="Multilevellist1">
    <w:name w:val="Multilevel list 1"/>
    <w:basedOn w:val="Normal"/>
    <w:next w:val="Multilevellistlevel2"/>
    <w:uiPriority w:val="3"/>
    <w:qFormat/>
    <w:rsid w:val="0095184E"/>
    <w:pPr>
      <w:keepNext/>
      <w:numPr>
        <w:numId w:val="35"/>
      </w:numPr>
      <w:tabs>
        <w:tab w:val="left" w:pos="3402"/>
      </w:tabs>
      <w:spacing w:before="240" w:after="120"/>
      <w:ind w:left="425" w:hanging="425"/>
      <w:outlineLvl w:val="0"/>
    </w:pPr>
    <w:rPr>
      <w:rFonts w:ascii="Schroders Circular TT" w:hAnsi="Schroders Circular TT"/>
      <w:color w:val="001E41" w:themeColor="accent1"/>
      <w:sz w:val="20"/>
    </w:rPr>
  </w:style>
  <w:style w:type="paragraph" w:customStyle="1" w:styleId="Multilevellistlevel2">
    <w:name w:val="Multilevel list level 2"/>
    <w:basedOn w:val="Normal"/>
    <w:next w:val="Multilevellistlevel3"/>
    <w:uiPriority w:val="5"/>
    <w:qFormat/>
    <w:rsid w:val="0095184E"/>
    <w:pPr>
      <w:keepNext/>
      <w:numPr>
        <w:ilvl w:val="1"/>
        <w:numId w:val="35"/>
      </w:numPr>
      <w:spacing w:before="120" w:after="120"/>
      <w:ind w:left="425" w:hanging="425"/>
      <w:outlineLvl w:val="1"/>
    </w:pPr>
    <w:rPr>
      <w:rFonts w:ascii="Schroders Circular TT" w:hAnsi="Schroders Circular TT"/>
      <w:color w:val="001E41" w:themeColor="accent1"/>
      <w:sz w:val="20"/>
    </w:rPr>
  </w:style>
  <w:style w:type="paragraph" w:customStyle="1" w:styleId="Multilevellistlevel3">
    <w:name w:val="Multilevel list level 3"/>
    <w:basedOn w:val="BodytextRegular"/>
    <w:uiPriority w:val="6"/>
    <w:qFormat/>
    <w:rsid w:val="00953A48"/>
    <w:pPr>
      <w:numPr>
        <w:ilvl w:val="2"/>
        <w:numId w:val="35"/>
      </w:numPr>
    </w:pPr>
  </w:style>
  <w:style w:type="paragraph" w:customStyle="1" w:styleId="Multilevellistlevel4">
    <w:name w:val="Multilevel list level 4"/>
    <w:basedOn w:val="BodytextRegular"/>
    <w:uiPriority w:val="7"/>
    <w:qFormat/>
    <w:rsid w:val="00953A48"/>
    <w:pPr>
      <w:numPr>
        <w:ilvl w:val="3"/>
        <w:numId w:val="35"/>
      </w:numPr>
    </w:pPr>
  </w:style>
  <w:style w:type="table" w:styleId="LightShading-Accent4">
    <w:name w:val="Light Shading Accent 4"/>
    <w:basedOn w:val="TableNormal"/>
    <w:uiPriority w:val="60"/>
    <w:locked/>
    <w:rsid w:val="00251481"/>
    <w:pPr>
      <w:spacing w:after="0" w:line="240" w:lineRule="auto"/>
    </w:pPr>
    <w:rPr>
      <w:color w:val="5D2964" w:themeColor="accent4" w:themeShade="BF"/>
    </w:rPr>
    <w:tblPr>
      <w:tblStyleRowBandSize w:val="1"/>
      <w:tblStyleColBandSize w:val="1"/>
      <w:tblBorders>
        <w:top w:val="single" w:sz="8" w:space="0" w:color="7D3787" w:themeColor="accent4"/>
        <w:bottom w:val="single" w:sz="8" w:space="0" w:color="7D3787" w:themeColor="accent4"/>
      </w:tblBorders>
    </w:tblPr>
    <w:tblStylePr w:type="fir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la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6E8" w:themeFill="accent4" w:themeFillTint="3F"/>
      </w:tcPr>
    </w:tblStylePr>
    <w:tblStylePr w:type="band1Horz">
      <w:tblPr/>
      <w:tcPr>
        <w:tcBorders>
          <w:left w:val="nil"/>
          <w:right w:val="nil"/>
          <w:insideH w:val="nil"/>
          <w:insideV w:val="nil"/>
        </w:tcBorders>
        <w:shd w:val="clear" w:color="auto" w:fill="E3C6E8" w:themeFill="accent4" w:themeFillTint="3F"/>
      </w:tcPr>
    </w:tblStylePr>
  </w:style>
  <w:style w:type="paragraph" w:customStyle="1" w:styleId="Chartandtabletitle">
    <w:name w:val="Chart and table title"/>
    <w:basedOn w:val="Paragraphheaderprussiannavy"/>
    <w:uiPriority w:val="17"/>
    <w:qFormat/>
    <w:rsid w:val="0046623B"/>
    <w:pPr>
      <w:spacing w:after="60"/>
    </w:pPr>
  </w:style>
  <w:style w:type="character" w:styleId="IntenseReference">
    <w:name w:val="Intense Reference"/>
    <w:basedOn w:val="DefaultParagraphFont"/>
    <w:uiPriority w:val="32"/>
    <w:semiHidden/>
    <w:qFormat/>
    <w:locked/>
    <w:rsid w:val="00AD758E"/>
    <w:rPr>
      <w:b/>
      <w:bCs/>
      <w:smallCaps/>
      <w:color w:val="0074B7" w:themeColor="accent3"/>
      <w:spacing w:val="5"/>
      <w:u w:val="single"/>
    </w:rPr>
  </w:style>
  <w:style w:type="character" w:styleId="SubtleReference">
    <w:name w:val="Subtle Reference"/>
    <w:basedOn w:val="DefaultParagraphFont"/>
    <w:uiPriority w:val="31"/>
    <w:semiHidden/>
    <w:qFormat/>
    <w:locked/>
    <w:rsid w:val="00AD758E"/>
    <w:rPr>
      <w:smallCaps/>
      <w:color w:val="0074B7" w:themeColor="accent3"/>
      <w:u w:val="single"/>
    </w:rPr>
  </w:style>
  <w:style w:type="character" w:styleId="FollowedHyperlink">
    <w:name w:val="FollowedHyperlink"/>
    <w:basedOn w:val="DefaultParagraphFont"/>
    <w:uiPriority w:val="99"/>
    <w:semiHidden/>
    <w:locked/>
    <w:rsid w:val="00AD758E"/>
    <w:rPr>
      <w:color w:val="0074B7" w:themeColor="accent3"/>
      <w:u w:val="single"/>
    </w:rPr>
  </w:style>
  <w:style w:type="table" w:styleId="GridTable1Light">
    <w:name w:val="Grid Table 1 Light"/>
    <w:basedOn w:val="TableNormal"/>
    <w:uiPriority w:val="46"/>
    <w:rsid w:val="004448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48D5"/>
    <w:pPr>
      <w:spacing w:after="0" w:line="240" w:lineRule="auto"/>
    </w:pPr>
    <w:tblPr>
      <w:tblStyleRowBandSize w:val="1"/>
      <w:tblStyleColBandSize w:val="1"/>
      <w:tblBorders>
        <w:top w:val="single" w:sz="4" w:space="0" w:color="7CCEFF" w:themeColor="accent3" w:themeTint="66"/>
        <w:left w:val="single" w:sz="4" w:space="0" w:color="7CCEFF" w:themeColor="accent3" w:themeTint="66"/>
        <w:bottom w:val="single" w:sz="4" w:space="0" w:color="7CCEFF" w:themeColor="accent3" w:themeTint="66"/>
        <w:right w:val="single" w:sz="4" w:space="0" w:color="7CCEFF" w:themeColor="accent3" w:themeTint="66"/>
        <w:insideH w:val="single" w:sz="4" w:space="0" w:color="7CCEFF" w:themeColor="accent3" w:themeTint="66"/>
        <w:insideV w:val="single" w:sz="4" w:space="0" w:color="7CCEFF" w:themeColor="accent3" w:themeTint="66"/>
      </w:tblBorders>
    </w:tblPr>
    <w:tblStylePr w:type="firstRow">
      <w:rPr>
        <w:b/>
        <w:bCs/>
      </w:rPr>
      <w:tblPr/>
      <w:tcPr>
        <w:tcBorders>
          <w:bottom w:val="single" w:sz="12" w:space="0" w:color="3AB6FF" w:themeColor="accent3" w:themeTint="99"/>
        </w:tcBorders>
      </w:tcPr>
    </w:tblStylePr>
    <w:tblStylePr w:type="lastRow">
      <w:rPr>
        <w:b/>
        <w:bCs/>
      </w:rPr>
      <w:tblPr/>
      <w:tcPr>
        <w:tcBorders>
          <w:top w:val="double" w:sz="2" w:space="0" w:color="3AB6FF"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70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verdisclaimer">
    <w:name w:val="Cover disclaimer"/>
    <w:basedOn w:val="Normal"/>
    <w:uiPriority w:val="26"/>
    <w:qFormat/>
    <w:rsid w:val="0095184E"/>
    <w:pPr>
      <w:tabs>
        <w:tab w:val="center" w:pos="4513"/>
        <w:tab w:val="right" w:pos="9026"/>
      </w:tabs>
      <w:spacing w:after="40"/>
    </w:pPr>
    <w:rPr>
      <w:rFonts w:cstheme="minorHAnsi"/>
      <w:noProof/>
      <w:color w:val="FFFFFF" w:themeColor="background1"/>
      <w:sz w:val="17"/>
      <w:szCs w:val="18"/>
    </w:rPr>
  </w:style>
  <w:style w:type="paragraph" w:customStyle="1" w:styleId="BodytextBold">
    <w:name w:val="Body text (Bold)"/>
    <w:basedOn w:val="BodytextRegular"/>
    <w:uiPriority w:val="1"/>
    <w:qFormat/>
    <w:rsid w:val="001A51FE"/>
    <w:rPr>
      <w:b/>
    </w:rPr>
  </w:style>
  <w:style w:type="paragraph" w:customStyle="1" w:styleId="NumberedlistBold">
    <w:name w:val="Numbered list (Bold)"/>
    <w:basedOn w:val="NumberedlistRegular"/>
    <w:uiPriority w:val="12"/>
    <w:qFormat/>
    <w:rsid w:val="000172FF"/>
    <w:rPr>
      <w:b/>
    </w:rPr>
  </w:style>
  <w:style w:type="paragraph" w:styleId="Header">
    <w:name w:val="header"/>
    <w:basedOn w:val="Normal"/>
    <w:link w:val="HeaderChar"/>
    <w:uiPriority w:val="99"/>
    <w:unhideWhenUsed/>
    <w:rsid w:val="000172FF"/>
    <w:pPr>
      <w:tabs>
        <w:tab w:val="center" w:pos="4513"/>
        <w:tab w:val="right" w:pos="9026"/>
      </w:tabs>
    </w:pPr>
    <w:rPr>
      <w:sz w:val="18"/>
    </w:rPr>
  </w:style>
  <w:style w:type="character" w:customStyle="1" w:styleId="HeaderChar">
    <w:name w:val="Header Char"/>
    <w:basedOn w:val="DefaultParagraphFont"/>
    <w:link w:val="Header"/>
    <w:uiPriority w:val="99"/>
    <w:rsid w:val="000172FF"/>
    <w:rPr>
      <w:sz w:val="18"/>
    </w:rPr>
  </w:style>
  <w:style w:type="paragraph" w:customStyle="1" w:styleId="Tabletextsub-bullet">
    <w:name w:val="Table text sub-bullet"/>
    <w:basedOn w:val="Tabletextbullet"/>
    <w:uiPriority w:val="21"/>
    <w:qFormat/>
    <w:rsid w:val="002D6067"/>
    <w:pPr>
      <w:ind w:left="568"/>
    </w:pPr>
  </w:style>
  <w:style w:type="character" w:styleId="UnresolvedMention">
    <w:name w:val="Unresolved Mention"/>
    <w:basedOn w:val="DefaultParagraphFont"/>
    <w:uiPriority w:val="99"/>
    <w:semiHidden/>
    <w:rsid w:val="00E76134"/>
    <w:rPr>
      <w:color w:val="605E5C"/>
      <w:shd w:val="clear" w:color="auto" w:fill="E1DFDD"/>
    </w:rPr>
  </w:style>
  <w:style w:type="paragraph" w:styleId="Revision">
    <w:name w:val="Revision"/>
    <w:hidden/>
    <w:uiPriority w:val="99"/>
    <w:semiHidden/>
    <w:rsid w:val="00156A61"/>
    <w:pPr>
      <w:spacing w:after="0" w:line="240" w:lineRule="auto"/>
    </w:pPr>
    <w:rPr>
      <w:sz w:val="19"/>
    </w:rPr>
  </w:style>
  <w:style w:type="paragraph" w:styleId="Footer">
    <w:name w:val="footer"/>
    <w:basedOn w:val="Normal"/>
    <w:link w:val="FooterChar"/>
    <w:uiPriority w:val="99"/>
    <w:unhideWhenUsed/>
    <w:qFormat/>
    <w:rsid w:val="000172FF"/>
    <w:pPr>
      <w:tabs>
        <w:tab w:val="center" w:pos="4680"/>
        <w:tab w:val="right" w:pos="9360"/>
      </w:tabs>
    </w:pPr>
    <w:rPr>
      <w:sz w:val="18"/>
    </w:rPr>
  </w:style>
  <w:style w:type="character" w:customStyle="1" w:styleId="FooterChar">
    <w:name w:val="Footer Char"/>
    <w:basedOn w:val="DefaultParagraphFont"/>
    <w:link w:val="Footer"/>
    <w:uiPriority w:val="99"/>
    <w:rsid w:val="000172FF"/>
    <w:rPr>
      <w:sz w:val="18"/>
    </w:rPr>
  </w:style>
  <w:style w:type="paragraph" w:styleId="CommentText">
    <w:name w:val="annotation text"/>
    <w:basedOn w:val="Normal"/>
    <w:link w:val="CommentTextChar"/>
    <w:uiPriority w:val="99"/>
    <w:locked/>
    <w:rsid w:val="004D385C"/>
    <w:rPr>
      <w:sz w:val="20"/>
      <w:szCs w:val="20"/>
    </w:rPr>
  </w:style>
  <w:style w:type="character" w:customStyle="1" w:styleId="CommentTextChar">
    <w:name w:val="Comment Text Char"/>
    <w:basedOn w:val="DefaultParagraphFont"/>
    <w:link w:val="CommentText"/>
    <w:uiPriority w:val="99"/>
    <w:rsid w:val="004D385C"/>
    <w:rPr>
      <w:sz w:val="20"/>
      <w:szCs w:val="20"/>
    </w:rPr>
  </w:style>
  <w:style w:type="character" w:styleId="CommentReference">
    <w:name w:val="annotation reference"/>
    <w:basedOn w:val="DefaultParagraphFont"/>
    <w:uiPriority w:val="99"/>
    <w:semiHidden/>
    <w:locked/>
    <w:rsid w:val="004D385C"/>
    <w:rPr>
      <w:sz w:val="16"/>
      <w:szCs w:val="16"/>
    </w:rPr>
  </w:style>
  <w:style w:type="paragraph" w:customStyle="1" w:styleId="Paragraphsubtitledeepcerulean">
    <w:name w:val="Paragraph subtitle deep cerulean"/>
    <w:basedOn w:val="BodyText"/>
    <w:next w:val="BodytextRegular"/>
    <w:uiPriority w:val="8"/>
    <w:qFormat/>
    <w:rsid w:val="0095184E"/>
    <w:pPr>
      <w:keepNext/>
      <w:spacing w:before="120"/>
    </w:pPr>
    <w:rPr>
      <w:rFonts w:ascii="Schroders Circular TT" w:hAnsi="Schroders Circular TT"/>
      <w:color w:val="00A2B5" w:themeColor="background2"/>
      <w:sz w:val="20"/>
      <w:szCs w:val="24"/>
    </w:rPr>
  </w:style>
  <w:style w:type="paragraph" w:customStyle="1" w:styleId="PageNumber1">
    <w:name w:val="Page Number1"/>
    <w:basedOn w:val="Normal"/>
    <w:uiPriority w:val="39"/>
    <w:qFormat/>
    <w:rsid w:val="0095184E"/>
    <w:pPr>
      <w:jc w:val="right"/>
    </w:pPr>
    <w:rPr>
      <w:b/>
      <w:bCs/>
      <w:color w:val="001E41" w:themeColor="accen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35420">
      <w:bodyDiv w:val="1"/>
      <w:marLeft w:val="0"/>
      <w:marRight w:val="0"/>
      <w:marTop w:val="0"/>
      <w:marBottom w:val="0"/>
      <w:divBdr>
        <w:top w:val="none" w:sz="0" w:space="0" w:color="auto"/>
        <w:left w:val="none" w:sz="0" w:space="0" w:color="auto"/>
        <w:bottom w:val="none" w:sz="0" w:space="0" w:color="auto"/>
        <w:right w:val="none" w:sz="0" w:space="0" w:color="auto"/>
      </w:divBdr>
    </w:div>
    <w:div w:id="937451031">
      <w:bodyDiv w:val="1"/>
      <w:marLeft w:val="0"/>
      <w:marRight w:val="0"/>
      <w:marTop w:val="0"/>
      <w:marBottom w:val="0"/>
      <w:divBdr>
        <w:top w:val="none" w:sz="0" w:space="0" w:color="auto"/>
        <w:left w:val="none" w:sz="0" w:space="0" w:color="auto"/>
        <w:bottom w:val="none" w:sz="0" w:space="0" w:color="auto"/>
        <w:right w:val="none" w:sz="0" w:space="0" w:color="auto"/>
      </w:divBdr>
      <w:divsChild>
        <w:div w:id="1033768715">
          <w:marLeft w:val="403"/>
          <w:marRight w:val="0"/>
          <w:marTop w:val="40"/>
          <w:marBottom w:val="40"/>
          <w:divBdr>
            <w:top w:val="none" w:sz="0" w:space="0" w:color="auto"/>
            <w:left w:val="none" w:sz="0" w:space="0" w:color="auto"/>
            <w:bottom w:val="none" w:sz="0" w:space="0" w:color="auto"/>
            <w:right w:val="none" w:sz="0" w:space="0" w:color="auto"/>
          </w:divBdr>
        </w:div>
      </w:divsChild>
    </w:div>
    <w:div w:id="1211841490">
      <w:bodyDiv w:val="1"/>
      <w:marLeft w:val="0"/>
      <w:marRight w:val="0"/>
      <w:marTop w:val="0"/>
      <w:marBottom w:val="0"/>
      <w:divBdr>
        <w:top w:val="none" w:sz="0" w:space="0" w:color="auto"/>
        <w:left w:val="none" w:sz="0" w:space="0" w:color="auto"/>
        <w:bottom w:val="none" w:sz="0" w:space="0" w:color="auto"/>
        <w:right w:val="none" w:sz="0" w:space="0" w:color="auto"/>
      </w:divBdr>
    </w:div>
    <w:div w:id="1284388970">
      <w:bodyDiv w:val="1"/>
      <w:marLeft w:val="0"/>
      <w:marRight w:val="0"/>
      <w:marTop w:val="0"/>
      <w:marBottom w:val="0"/>
      <w:divBdr>
        <w:top w:val="none" w:sz="0" w:space="0" w:color="auto"/>
        <w:left w:val="none" w:sz="0" w:space="0" w:color="auto"/>
        <w:bottom w:val="none" w:sz="0" w:space="0" w:color="auto"/>
        <w:right w:val="none" w:sz="0" w:space="0" w:color="auto"/>
      </w:divBdr>
    </w:div>
    <w:div w:id="18239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ci.com" TargetMode="External"/><Relationship Id="rId4" Type="http://schemas.openxmlformats.org/officeDocument/2006/relationships/settings" Target="settings.xml"/><Relationship Id="rId9" Type="http://schemas.openxmlformats.org/officeDocument/2006/relationships/hyperlink" Target="https://www.schroders.com/en/global/individual/sustainability/sustainability-policies-disclosures-and-report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zelal\AppData\Local\Temp\4ac7ef65-448c-41f7-a179-596e72978864_transfer%20(4).zip.864\Schroders_Fund%20Factsheet_A4_Temp_V2.dotx" TargetMode="External"/></Relationships>
</file>

<file path=word/theme/theme1.xml><?xml version="1.0" encoding="utf-8"?>
<a:theme xmlns:a="http://schemas.openxmlformats.org/drawingml/2006/main" name="Core">
  <a:themeElements>
    <a:clrScheme name="Schroders template latest">
      <a:dk1>
        <a:srgbClr val="000000"/>
      </a:dk1>
      <a:lt1>
        <a:srgbClr val="FFFFFF"/>
      </a:lt1>
      <a:dk2>
        <a:srgbClr val="A446BA"/>
      </a:dk2>
      <a:lt2>
        <a:srgbClr val="00A2B5"/>
      </a:lt2>
      <a:accent1>
        <a:srgbClr val="001E41"/>
      </a:accent1>
      <a:accent2>
        <a:srgbClr val="63C532"/>
      </a:accent2>
      <a:accent3>
        <a:srgbClr val="0074B7"/>
      </a:accent3>
      <a:accent4>
        <a:srgbClr val="7D3787"/>
      </a:accent4>
      <a:accent5>
        <a:srgbClr val="BAE659"/>
      </a:accent5>
      <a:accent6>
        <a:srgbClr val="00796D"/>
      </a:accent6>
      <a:hlink>
        <a:srgbClr val="0074B7"/>
      </a:hlink>
      <a:folHlink>
        <a:srgbClr val="00A2B5"/>
      </a:folHlink>
    </a:clrScheme>
    <a:fontScheme name="Schroders Word">
      <a:majorFont>
        <a:latin typeface="Schroders Circular TT"/>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sz="1200" dirty="0"/>
        </a:defPPr>
      </a:lstStyle>
      <a:style>
        <a:lnRef idx="2">
          <a:schemeClr val="accent1">
            <a:shade val="50000"/>
          </a:schemeClr>
        </a:lnRef>
        <a:fillRef idx="1">
          <a:schemeClr val="accent1"/>
        </a:fillRef>
        <a:effectRef idx="0">
          <a:schemeClr val="accent1"/>
        </a:effectRef>
        <a:fontRef idx="minor">
          <a:schemeClr val="lt1"/>
        </a:fontRef>
      </a:style>
    </a:spDef>
    <a:lnDef>
      <a:spPr>
        <a:noFill/>
        <a:ln w="9525">
          <a:solidFill>
            <a:schemeClr val="tx1"/>
          </a:solidFill>
          <a:headEnd type="none" w="med" len="med"/>
          <a:tailEnd type="none" w="med" len="med"/>
        </a:ln>
      </a:spPr>
      <a:bodyPr/>
      <a:lstStyle/>
      <a:style>
        <a:lnRef idx="2">
          <a:schemeClr val="accent1">
            <a:shade val="50000"/>
          </a:schemeClr>
        </a:lnRef>
        <a:fillRef idx="1">
          <a:schemeClr val="accent1"/>
        </a:fillRef>
        <a:effectRef idx="0">
          <a:schemeClr val="accent1"/>
        </a:effectRef>
        <a:fontRef idx="minor">
          <a:schemeClr val="lt1"/>
        </a:fontRef>
      </a:style>
    </a:lnDef>
    <a:txDef>
      <a:spPr>
        <a:noFill/>
      </a:spPr>
      <a:bodyPr wrap="square" lIns="0" tIns="0" rIns="0" bIns="0" rtlCol="0">
        <a:spAutoFit/>
      </a:bodyPr>
      <a:lstStyle>
        <a:defPPr algn="l">
          <a:defRPr sz="1400" dirty="0" err="1" smtClean="0">
            <a:latin typeface="+mn-lt"/>
          </a:defRPr>
        </a:defPPr>
      </a:lstStyle>
    </a:txDef>
  </a:objectDefaults>
  <a:extraClrSchemeLst/>
  <a:custClrLst>
    <a:custClr name="Prussian Navy">
      <a:srgbClr val="001E41"/>
    </a:custClr>
    <a:custClr name="Bright blue">
      <a:srgbClr val="0074B7"/>
    </a:custClr>
    <a:custClr name="Deep Cerulean">
      <a:srgbClr val="00A2B5"/>
    </a:custClr>
    <a:custClr name="Dark green">
      <a:srgbClr val="00796D"/>
    </a:custClr>
    <a:custClr name="Mid green">
      <a:srgbClr val="63C532"/>
    </a:custClr>
    <a:custClr name="Light green">
      <a:srgbClr val="BAE659"/>
    </a:custClr>
    <a:custClr name="Dark purple">
      <a:srgbClr val="4F3398"/>
    </a:custClr>
    <a:custClr name="Mid purple">
      <a:srgbClr val="7D3787"/>
    </a:custClr>
    <a:custClr name="Light purple">
      <a:srgbClr val="A446BA"/>
    </a:custClr>
    <a:custClr name="Dark pink">
      <a:srgbClr val="B71962"/>
    </a:custClr>
    <a:custClr name="Mid pink">
      <a:srgbClr val="DF536A"/>
    </a:custClr>
    <a:custClr name="Light pink">
      <a:srgbClr val="FF90A1"/>
    </a:custClr>
    <a:custClr name="Dark orange">
      <a:srgbClr val="EA5204"/>
    </a:custClr>
    <a:custClr name="Mid orange">
      <a:srgbClr val="F8A908"/>
    </a:custClr>
    <a:custClr name="Light orange">
      <a:srgbClr val="FFDC53"/>
    </a:custClr>
    <a:custClr name="Red">
      <a:srgbClr val="E00716"/>
    </a:custClr>
    <a:custClr name="Light Grey highlight">
      <a:srgbClr val="DCE1E5"/>
    </a:custClr>
  </a:custClrLst>
  <a:extLst>
    <a:ext uri="{05A4C25C-085E-4340-85A3-A5531E510DB2}">
      <thm15:themeFamily xmlns:thm15="http://schemas.microsoft.com/office/thememl/2012/main" name="Core" id="{FC937D77-274E-48BF-B222-0FE8C3B8DE7B}" vid="{F68DEEAB-50A4-40AE-8C56-9FF131A821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llExternalAdhocVariableMappings/>
</file>

<file path=customXml/itemProps1.xml><?xml version="1.0" encoding="utf-8"?>
<ds:datastoreItem xmlns:ds="http://schemas.openxmlformats.org/officeDocument/2006/customXml" ds:itemID="{35447C14-27A5-4722-8033-7E6A2E3D4F81}">
  <ds:schemaRefs/>
</ds:datastoreItem>
</file>

<file path=docProps/app.xml><?xml version="1.0" encoding="utf-8"?>
<Properties xmlns="http://schemas.openxmlformats.org/officeDocument/2006/extended-properties" xmlns:vt="http://schemas.openxmlformats.org/officeDocument/2006/docPropsVTypes">
  <Template>Schroders_Fund Factsheet_A4_Temp_V2</Template>
  <TotalTime>1</TotalTime>
  <Pages>8</Pages>
  <Words>5918</Words>
  <Characters>32906</Characters>
  <Application>Microsoft Office Word</Application>
  <DocSecurity>0</DocSecurity>
  <Lines>463</Lines>
  <Paragraphs>201</Paragraphs>
  <ScaleCrop>false</ScaleCrop>
  <HeadingPairs>
    <vt:vector size="2" baseType="variant">
      <vt:variant>
        <vt:lpstr>Title</vt:lpstr>
      </vt:variant>
      <vt:variant>
        <vt:i4>1</vt:i4>
      </vt:variant>
    </vt:vector>
  </HeadingPairs>
  <TitlesOfParts>
    <vt:vector size="1" baseType="lpstr">
      <vt:lpstr>[[fundname]]</vt:lpstr>
    </vt:vector>
  </TitlesOfParts>
  <Company>Schroders Investment Management</Company>
  <LinksUpToDate>false</LinksUpToDate>
  <CharactersWithSpaces>38623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[[fundname]]</dc:title>
  <dc:subject/>
  <dc:creator>Sizeland, Lisa</dc:creator>
  <cp:keywords/>
  <dc:description/>
  <cp:lastModifiedBy>Bailey, Connor</cp:lastModifiedBy>
  <cp:revision>2</cp:revision>
  <cp:lastPrinted>2025-02-25T16:54:00Z</cp:lastPrinted>
  <dcterms:created xsi:type="dcterms:W3CDTF">2026-08-20T09:10:00Z</dcterms:created>
  <dcterms:modified xsi:type="dcterms:W3CDTF">2026-08-20T09:10:00Z</dcterms:modified>
  <cp:category>Document title with one line</cp:category>
  <cp:contentStatus>[Insert a 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0x010100A8101AE86B09AA42911FCC6E265D4503</vt:lpwstr>
  </property>
</Properties>
</file>