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59"/>
      </w:tblGrid>
      <w:tr w:rsidR="00E20CFB" w:rsidRPr="00A23F93" w14:paraId="56581F51" w14:textId="77777777" w:rsidTr="00DA6343">
        <w:trPr>
          <w:trHeight w:val="950"/>
        </w:trPr>
        <w:tc>
          <w:tcPr>
            <w:tcW w:w="8559" w:type="dxa"/>
            <w:tcMar>
              <w:left w:w="0" w:type="dxa"/>
              <w:right w:w="0" w:type="dxa"/>
            </w:tcMar>
            <w:vAlign w:val="bottom"/>
          </w:tcPr>
          <w:p w14:paraId="07C97347" w14:textId="2D25000F" w:rsidR="00E20CFB" w:rsidRPr="00A23F93" w:rsidRDefault="004A6834" w:rsidP="00CC68E9">
            <w:pPr>
              <w:pStyle w:val="Documenttitle"/>
              <w:framePr w:hSpace="181" w:wrap="notBeside" w:x="-5" w:anchorLock="1"/>
              <w:rPr>
                <w:lang w:val="en-GB"/>
              </w:rPr>
            </w:pPr>
            <w:r w:rsidRPr="00A23F93">
              <w:rPr>
                <w:noProof/>
                <w:lang w:val="en-GB"/>
              </w:rPr>
              <mc:AlternateContent>
                <mc:Choice Requires="wps">
                  <w:drawing>
                    <wp:anchor distT="0" distB="0" distL="114300" distR="114300" simplePos="0" relativeHeight="251658241" behindDoc="0" locked="0" layoutInCell="1" allowOverlap="1" wp14:anchorId="5EE7104E" wp14:editId="616964E3">
                      <wp:simplePos x="0" y="0"/>
                      <wp:positionH relativeFrom="column">
                        <wp:posOffset>-1843</wp:posOffset>
                      </wp:positionH>
                      <wp:positionV relativeFrom="paragraph">
                        <wp:posOffset>45786</wp:posOffset>
                      </wp:positionV>
                      <wp:extent cx="0" cy="605860"/>
                      <wp:effectExtent l="0" t="0" r="38100" b="22860"/>
                      <wp:wrapNone/>
                      <wp:docPr id="842212949" name="Straight Connector 7"/>
                      <wp:cNvGraphicFramePr/>
                      <a:graphic xmlns:a="http://schemas.openxmlformats.org/drawingml/2006/main">
                        <a:graphicData uri="http://schemas.microsoft.com/office/word/2010/wordprocessingShape">
                          <wps:wsp>
                            <wps:cNvCnPr/>
                            <wps:spPr>
                              <a:xfrm>
                                <a:off x="0" y="0"/>
                                <a:ext cx="0" cy="605860"/>
                              </a:xfrm>
                              <a:prstGeom prst="line">
                                <a:avLst/>
                              </a:prstGeom>
                              <a:ln w="12700">
                                <a:solidFill>
                                  <a:schemeClr val="bg2"/>
                                </a:solidFill>
                                <a:headEnd type="none" w="med" len="med"/>
                                <a:tailEnd type="non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xmlns:w14="http://schemas.microsoft.com/office/word/2010/wordml" xmlns:o="urn:schemas-microsoft-com:office:office" xmlns:v="urn:schemas-microsoft-com:vml" id="Straight Connector 7"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a2b5 [32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" from="-.15pt,3.6pt" to="-.15pt,51.3pt" w14:anchorId="37753D44"/>
                  </w:pict>
                </mc:Fallback>
              </mc:AlternateContent>
            </w:r>
            <w:r w:rsidR="000652FB">
              <w:rPr>
                <w:lang w:val="en-GB"/>
              </w:rPr>
              <w:t>Schroder ISF* E</w:t>
            </w:r>
            <w:r w:rsidR="00253684">
              <w:rPr>
                <w:lang w:val="en-GB"/>
              </w:rPr>
              <w:t>URO</w:t>
            </w:r>
            <w:r w:rsidR="000652FB">
              <w:rPr>
                <w:lang w:val="en-GB"/>
              </w:rPr>
              <w:t xml:space="preserve"> Credit Conviction Short Duration</w:t>
            </w:r>
            <w:r w:rsidR="00B530CB">
              <w:rPr>
                <w:lang w:val="en-GB"/>
              </w:rPr>
              <w:t xml:space="preserve"> </w:t>
            </w:r>
          </w:p>
        </w:tc>
      </w:tr>
    </w:tbl>
    <w:p w14:paraId="0DB64CEE" w14:textId="77777777" w:rsidR="00626DB0" w:rsidRPr="00A23F93" w:rsidRDefault="00794888" w:rsidP="001A51FE">
      <w:pPr>
        <w:pStyle w:val="BodytextRegular"/>
      </w:pPr>
      <w:r>
        <w:rPr>
          <w:noProof/>
        </w:rPr>
        <w:drawing>
          <wp:anchor distT="0" distB="0" distL="114300" distR="114300" simplePos="0" relativeHeight="251658240" behindDoc="1" locked="0" layoutInCell="1" allowOverlap="1" wp14:anchorId="3979A4FE" wp14:editId="4790F27C">
            <wp:simplePos x="0" y="0"/>
            <wp:positionH relativeFrom="column">
              <wp:posOffset>-534035</wp:posOffset>
            </wp:positionH>
            <wp:positionV relativeFrom="paragraph">
              <wp:posOffset>-599440</wp:posOffset>
            </wp:positionV>
            <wp:extent cx="7559040" cy="2705100"/>
            <wp:effectExtent l="0" t="0" r="3810" b="0"/>
            <wp:wrapNone/>
            <wp:docPr id="1267668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68238"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59040" cy="27051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Y="409"/>
        <w:tblW w:w="10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92"/>
      </w:tblGrid>
      <w:tr w:rsidR="00E34B42" w:rsidRPr="00A23F93" w14:paraId="3A971DCA" w14:textId="77777777" w:rsidTr="00A317E9">
        <w:trPr>
          <w:trHeight w:val="361"/>
        </w:trPr>
        <w:tc>
          <w:tcPr>
            <w:tcW w:w="10292" w:type="dxa"/>
            <w:tcMar>
              <w:left w:w="0" w:type="dxa"/>
              <w:right w:w="0" w:type="dxa"/>
            </w:tcMar>
            <w:vAlign w:val="bottom"/>
          </w:tcPr>
          <w:p w14:paraId="25B20C85" w14:textId="77777777" w:rsidR="00E34B42" w:rsidRPr="00A23F93" w:rsidRDefault="00E34B42" w:rsidP="00A317E9">
            <w:pPr>
              <w:pStyle w:val="Coverdate"/>
              <w:rPr>
                <w:noProof w:val="0"/>
              </w:rPr>
            </w:pPr>
            <w:r w:rsidRPr="00A23F93">
              <w:rPr>
                <w:noProof w:val="0"/>
              </w:rPr>
              <w:t>Fund Manager</w:t>
            </w:r>
            <w:r>
              <w:rPr>
                <w:noProof w:val="0"/>
              </w:rPr>
              <w:t>(</w:t>
            </w:r>
            <w:r w:rsidRPr="00A23F93">
              <w:rPr>
                <w:noProof w:val="0"/>
              </w:rPr>
              <w:t>s</w:t>
            </w:r>
            <w:r>
              <w:rPr>
                <w:noProof w:val="0"/>
              </w:rPr>
              <w:t>)</w:t>
            </w:r>
            <w:r w:rsidRPr="00A23F93">
              <w:rPr>
                <w:noProof w:val="0"/>
              </w:rPr>
              <w:t xml:space="preserve">: </w:t>
            </w:r>
            <w:r>
              <w:t>Patrick Vogel</w:t>
            </w:r>
            <w:r>
              <w:rPr>
                <w:noProof w:val="0"/>
              </w:rPr>
              <w:t xml:space="preserve"> </w:t>
            </w:r>
          </w:p>
        </w:tc>
      </w:tr>
      <w:tr w:rsidR="00E34B42" w:rsidRPr="00A23F93" w14:paraId="10A84F94" w14:textId="77777777" w:rsidTr="00A317E9">
        <w:trPr>
          <w:trHeight w:val="351"/>
        </w:trPr>
        <w:tc>
          <w:tcPr>
            <w:tcW w:w="10292" w:type="dxa"/>
            <w:tcMar>
              <w:left w:w="0" w:type="dxa"/>
              <w:right w:w="0" w:type="dxa"/>
            </w:tcMar>
            <w:vAlign w:val="bottom"/>
          </w:tcPr>
          <w:p w14:paraId="525E8F32" w14:textId="77777777" w:rsidR="00E34B42" w:rsidRPr="00A23F93" w:rsidRDefault="00E34B42" w:rsidP="00A317E9">
            <w:pPr>
              <w:pStyle w:val="Coverdate"/>
              <w:rPr>
                <w:noProof w:val="0"/>
              </w:rPr>
            </w:pPr>
            <w:r w:rsidRPr="00A23F93">
              <w:rPr>
                <w:noProof w:val="0"/>
              </w:rPr>
              <w:t xml:space="preserve">Fund update: </w:t>
            </w:r>
            <w:r>
              <w:rPr>
                <w:noProof w:val="0"/>
              </w:rPr>
              <w:t xml:space="preserve">April 2026 </w:t>
            </w:r>
          </w:p>
        </w:tc>
      </w:tr>
      <w:tr w:rsidR="00E34B42" w:rsidRPr="00A23F93" w14:paraId="6ADD68FD" w14:textId="77777777" w:rsidTr="00A317E9">
        <w:trPr>
          <w:trHeight w:val="287"/>
        </w:trPr>
        <w:tc>
          <w:tcPr>
            <w:tcW w:w="10292" w:type="dxa"/>
            <w:tcMar>
              <w:left w:w="0" w:type="dxa"/>
              <w:right w:w="0" w:type="dxa"/>
            </w:tcMar>
            <w:vAlign w:val="bottom"/>
          </w:tcPr>
          <w:p w14:paraId="24018F26" w14:textId="77777777" w:rsidR="00E34B42" w:rsidRPr="00A23F93" w:rsidRDefault="00E34B42" w:rsidP="00A317E9">
            <w:pPr>
              <w:pStyle w:val="Coverdisclaimer"/>
              <w:rPr>
                <w:noProof w:val="0"/>
              </w:rPr>
            </w:pPr>
            <w:r>
              <w:rPr>
                <w:noProof w:val="0"/>
              </w:rPr>
              <w:t>Marketing material f</w:t>
            </w:r>
            <w:r w:rsidRPr="00A23F93">
              <w:rPr>
                <w:noProof w:val="0"/>
              </w:rPr>
              <w:t>or professional clients only.</w:t>
            </w:r>
          </w:p>
        </w:tc>
      </w:tr>
    </w:tbl>
    <w:p w14:paraId="4B1196FD" w14:textId="77777777" w:rsidR="00A119CB" w:rsidRDefault="00A119CB" w:rsidP="001A51FE">
      <w:pPr>
        <w:pStyle w:val="BodytextRegular"/>
      </w:pPr>
    </w:p>
    <w:p w14:paraId="7CDA4318" w14:textId="77777777" w:rsidR="00B5080A" w:rsidRPr="00A23F93" w:rsidRDefault="00B5080A" w:rsidP="001A51FE">
      <w:pPr>
        <w:pStyle w:val="BodytextRegular"/>
      </w:pPr>
    </w:p>
    <w:p w14:paraId="5C4CF218" w14:textId="77777777" w:rsidR="00994793" w:rsidRPr="00A23F93" w:rsidRDefault="00994793" w:rsidP="00994793">
      <w:pPr>
        <w:pStyle w:val="Sourcetext"/>
      </w:pPr>
      <w:bookmarkStart w:id="0" w:name="_Toc72515832"/>
      <w:bookmarkStart w:id="1" w:name="_Toc72584036"/>
    </w:p>
    <w:p w14:paraId="0EF05EA9" w14:textId="77777777" w:rsidR="00A119CB" w:rsidRPr="00A23F93" w:rsidRDefault="00A119CB" w:rsidP="00A119CB">
      <w:pPr>
        <w:pStyle w:val="Paragraphheaderprussiannavy"/>
      </w:pPr>
      <w:r w:rsidRPr="00A23F93">
        <w:t>Market Review</w:t>
      </w:r>
    </w:p>
    <w:p w14:paraId="2FF66B0A" w14:textId="77777777" w:rsidR="00253684" w:rsidRDefault="00C66ABB" w:rsidP="00A119CB">
      <w:pPr>
        <w:pStyle w:val="BodytextRegular"/>
      </w:pPr>
      <w:r>
        <w:t>April was another volatile month for bond markets as the oil price remained elevated, reflecting ongoing disruption in the Middle East, with Brent crude briefly moving above $120 a barrel for the first time since 2022. However, risk markets showed a strong recovery following President Trump’s initial ceasefire announcement towards the end of March, which was subsequently extended. Credit spreads tightened across the board in European markets. On average, euro-denominated issues outperformed US dollar credit, with high yield outperforming investment grade markets.</w:t>
      </w:r>
    </w:p>
    <w:p w14:paraId="1FF083B1" w14:textId="2F6AD191" w:rsidR="00253684" w:rsidRDefault="00C66ABB" w:rsidP="00A119CB">
      <w:pPr>
        <w:pStyle w:val="BodytextRegular"/>
      </w:pPr>
      <w:r>
        <w:t>In Europe, initial first quarter corporate earnings announcements have been encouraging with positive updates from the banking, energy and technology sectors offsetting weakness in cyclical sectors such as autos. The technical backdrop for European credit markets remained favourable.  April saw a continuation of strong year-to-date supply in the primary market, boosted by large investment grade issues from leading US technology companies to fund the build out of data centres.  However, this supply is well absorbed by high demand for European credit.</w:t>
      </w:r>
    </w:p>
    <w:p w14:paraId="04B3C4C5" w14:textId="77777777" w:rsidR="00253684" w:rsidRDefault="00C66ABB" w:rsidP="00A119CB">
      <w:pPr>
        <w:pStyle w:val="BodytextRegular"/>
      </w:pPr>
      <w:r>
        <w:t>European government bond markets remained particularly sensitive to events in the Middle East given the region’s dependency on energy imports, with the 10-year German bund yield recording its highest level since 2011. However, in a reversal of the trend exhibited during March, peripheral markets outperformed the core. The European Central Bank (ECB) left the deposit rate unchanged at 2% although officials adopted a cautious stance on monetary policy guidance, emphasising the impact of the Middle East conflict on inflation.</w:t>
      </w:r>
    </w:p>
    <w:p w14:paraId="366C2800" w14:textId="7F906459" w:rsidR="00A119CB" w:rsidRPr="00A23F93" w:rsidRDefault="00C66ABB" w:rsidP="00A119CB">
      <w:pPr>
        <w:pStyle w:val="BodytextRegular"/>
      </w:pPr>
      <w:r>
        <w:t xml:space="preserve">European economic indicators reflected a more stagflationary economic outlook. The flash eurozone composite purchasing managers index (PMI) came in well below expectations, signalling the first contraction in economic activity for 16 months with evidence that higher energy costs have begun to impact consumer spending while services sector activity, previously an area of relative strength, has also softened. On the other hand, inflation increased to 3% - its highest level since September 2023, driven largely by an upsurge in energy costs, creating a challenging backdrop for the ECB over the coming months.  </w:t>
      </w:r>
    </w:p>
    <w:p w14:paraId="6E476116" w14:textId="77777777" w:rsidR="00A119CB" w:rsidRPr="00A23F93" w:rsidRDefault="00A119CB" w:rsidP="00A119CB">
      <w:pPr>
        <w:pStyle w:val="Paragraphheaderprussiannavy"/>
      </w:pPr>
      <w:r w:rsidRPr="00A23F93">
        <w:t>Drivers of Fund Performance</w:t>
      </w:r>
    </w:p>
    <w:p w14:paraId="6BA7FEA7" w14:textId="77777777" w:rsidR="00253684" w:rsidRDefault="00C66ABB" w:rsidP="00A119CB">
      <w:pPr>
        <w:pStyle w:val="BodytextRegular"/>
      </w:pPr>
      <w:r>
        <w:t>The fund posted a positive total return and outperformed the reference benchmark during April after fees.</w:t>
      </w:r>
    </w:p>
    <w:p w14:paraId="563CBB8D" w14:textId="77777777" w:rsidR="00253684" w:rsidRDefault="00C66ABB" w:rsidP="00A119CB">
      <w:pPr>
        <w:pStyle w:val="BodytextRegular"/>
      </w:pPr>
      <w:r>
        <w:t>Positioning in the healthcare, utility and financial services sectors made a positive contribution to performance over the month, as spread compression led to higher beta holdings outperforming.</w:t>
      </w:r>
      <w:r w:rsidR="00253684">
        <w:t xml:space="preserve"> </w:t>
      </w:r>
      <w:r>
        <w:t>Exposure to corporate hybrid securities was also additive.</w:t>
      </w:r>
    </w:p>
    <w:p w14:paraId="30FAEAA2" w14:textId="77777777" w:rsidR="00253684" w:rsidRDefault="00C66ABB" w:rsidP="00A119CB">
      <w:pPr>
        <w:pStyle w:val="BodytextRegular"/>
      </w:pPr>
      <w:r>
        <w:t xml:space="preserve">An off-benchmark allocation to emerging market sovereign debt contributed to returns. Most notably, investments in Hungary – both sovereign issues and corporate bonds. The Hungarian market was the standout performer over the month, as parliamentary elections delivered a decisive victory to the opposition which has a pro-EU stance, with a higher probability of frozen EU funds being unlocked. </w:t>
      </w:r>
    </w:p>
    <w:p w14:paraId="43648812" w14:textId="42A0C390" w:rsidR="00A119CB" w:rsidRPr="00A23F93" w:rsidRDefault="00C66ABB" w:rsidP="00A119CB">
      <w:pPr>
        <w:pStyle w:val="BodytextRegular"/>
      </w:pPr>
      <w:r>
        <w:t xml:space="preserve">Exposure to the energy sector was additive as higher oil prices are a key driver of operating margins and earnings. </w:t>
      </w:r>
      <w:r>
        <w:br/>
      </w:r>
      <w:r>
        <w:br/>
        <w:t xml:space="preserve">On the other hand, security selection in real estate detracted. </w:t>
      </w:r>
    </w:p>
    <w:p w14:paraId="02C4F6C8" w14:textId="77777777" w:rsidR="00A119CB" w:rsidRPr="00A23F93" w:rsidRDefault="00A119CB" w:rsidP="00A119CB">
      <w:pPr>
        <w:pStyle w:val="Paragraphheaderprussiannavy"/>
      </w:pPr>
      <w:r w:rsidRPr="00A23F93">
        <w:lastRenderedPageBreak/>
        <w:t>Portfolio Activity</w:t>
      </w:r>
    </w:p>
    <w:p w14:paraId="14BD2687" w14:textId="77777777" w:rsidR="00253684" w:rsidRDefault="00C66ABB" w:rsidP="00A119CB">
      <w:pPr>
        <w:pStyle w:val="BodytextRegular"/>
      </w:pPr>
      <w:r>
        <w:t xml:space="preserve">As credit spreads compressed during the month, with higher yielding euro-denominated credit outperforming the US market, we identified several investment opportunities in the US technology sector. </w:t>
      </w:r>
      <w:r>
        <w:br/>
      </w:r>
      <w:r>
        <w:br/>
        <w:t>We continued to focus on data centre infrastructure assets, adding senior secured notes from a leading provider of digital infrastructure in the US and new issues from financing vehicles backed by leading US technology companies to fund AI-related expenditure.</w:t>
      </w:r>
    </w:p>
    <w:p w14:paraId="01E902DF" w14:textId="77777777" w:rsidR="00253684" w:rsidRDefault="00C66ABB" w:rsidP="00A119CB">
      <w:pPr>
        <w:pStyle w:val="BodytextRegular"/>
      </w:pPr>
      <w:r>
        <w:t>Our emphasis is on identifying infrastructure assets with long fixed-term leases with strong covenants, where the tenant is committed to regular rental payments during the build out phase while covering any potential liability for cost overruns.</w:t>
      </w:r>
    </w:p>
    <w:p w14:paraId="7C09E8C8" w14:textId="77777777" w:rsidR="00253684" w:rsidRDefault="00253684" w:rsidP="00A119CB">
      <w:pPr>
        <w:pStyle w:val="BodytextRegular"/>
      </w:pPr>
      <w:r>
        <w:t>I</w:t>
      </w:r>
      <w:r w:rsidR="00C66ABB">
        <w:t xml:space="preserve">n the communications sector, we added a holding in a new issue from an Italian cable operator to fund the expansion of its </w:t>
      </w:r>
      <w:proofErr w:type="spellStart"/>
      <w:r w:rsidR="00C66ABB">
        <w:t>fiber</w:t>
      </w:r>
      <w:proofErr w:type="spellEnd"/>
      <w:r w:rsidR="00C66ABB">
        <w:t xml:space="preserve"> optic network.</w:t>
      </w:r>
    </w:p>
    <w:p w14:paraId="04D6D0B6" w14:textId="77777777" w:rsidR="00253684" w:rsidRDefault="00253684" w:rsidP="00A119CB">
      <w:pPr>
        <w:pStyle w:val="BodytextRegular"/>
      </w:pPr>
      <w:r>
        <w:t>I</w:t>
      </w:r>
      <w:r w:rsidR="00C66ABB">
        <w:t>n the real estate sector, we have maintained a preference for retail assets adding a holding in a new issue in refinancing from a developer of a major UK shopping centre which was priced on an attractive yield.</w:t>
      </w:r>
    </w:p>
    <w:p w14:paraId="593BFAC5" w14:textId="4AB3BBD1" w:rsidR="00A119CB" w:rsidRPr="00A23F93" w:rsidRDefault="00253684" w:rsidP="00A119CB">
      <w:pPr>
        <w:pStyle w:val="BodytextRegular"/>
      </w:pPr>
      <w:r>
        <w:t>W</w:t>
      </w:r>
      <w:r w:rsidR="00C66ABB">
        <w:t xml:space="preserve">e reduced exposure to core eurozone government bonds and securities issued by pharmaceutical and healthcare groups where the credit spreads had tightened. </w:t>
      </w:r>
    </w:p>
    <w:p w14:paraId="6D104689" w14:textId="77777777" w:rsidR="002C423C" w:rsidRPr="00A23F93" w:rsidRDefault="002C423C" w:rsidP="00B5080A">
      <w:pPr>
        <w:pStyle w:val="Paragraphheaderprussiannavy"/>
      </w:pPr>
      <w:r w:rsidRPr="00A23F93">
        <w:t>Outlook/positioning</w:t>
      </w:r>
    </w:p>
    <w:p w14:paraId="1C15D515" w14:textId="77777777" w:rsidR="00253684" w:rsidRDefault="00C66ABB" w:rsidP="002C423C">
      <w:pPr>
        <w:pStyle w:val="BodytextRegular"/>
      </w:pPr>
      <w:r>
        <w:t>Given the eurozone’s reliance on energy imports, the region is doubly affected by the closure of the Strait of Hormuz due to the impact on natural gas prices, which are crucial for electricity supplies and for heating. Though the initial reaction to the war was sharp, gas prices have retraced a significant portion of this move, leaving them elevated relative to their pre-war baseline but still significantly lower than after the Russia/Ukraine conflict in 2022.</w:t>
      </w:r>
    </w:p>
    <w:p w14:paraId="3D3C99EE" w14:textId="77777777" w:rsidR="00253684" w:rsidRDefault="00253684" w:rsidP="002C423C">
      <w:pPr>
        <w:pStyle w:val="BodytextRegular"/>
      </w:pPr>
      <w:r>
        <w:t>W</w:t>
      </w:r>
      <w:r w:rsidR="00C66ABB">
        <w:t>e expect that the impact of elevated energy prices on the eurozone economy will be noticeable, but not recessionary. As is the case with the US, this is partly a function of a solid starting point.</w:t>
      </w:r>
    </w:p>
    <w:p w14:paraId="327A26A7" w14:textId="77777777" w:rsidR="00253684" w:rsidRDefault="00C66ABB" w:rsidP="002C423C">
      <w:pPr>
        <w:pStyle w:val="BodytextRegular"/>
      </w:pPr>
      <w:r>
        <w:t>European bond markets are likely to remain driven by global events, with bond valuations already pricing in a reflationary outlook where the ECB commences hiking interest rates. Credit fundamentals in Europe remain broadly solid, with strong balance sheets and limited refinancing risks overall. However, having compressed in recent weeks euro investment grade credit spreads remain close to historically tight levels, and while we would generally consider a widening of credit spreads as a buying opportunity in the meantime we are concentrating on enhancing returns through credit selection and exploiting mis-priced bonds.</w:t>
      </w:r>
    </w:p>
    <w:p w14:paraId="246EE6FD" w14:textId="1329B2EE" w:rsidR="002C423C" w:rsidRPr="00A23F93" w:rsidRDefault="00253684" w:rsidP="002C423C">
      <w:pPr>
        <w:pStyle w:val="BodytextRegular"/>
      </w:pPr>
      <w:r>
        <w:t>W</w:t>
      </w:r>
      <w:r w:rsidR="00C66ABB">
        <w:t>e continue to place a strong emphasis on credit quality, focusing on opportunities that offer good carry and favourable underlying credit fundamentals.</w:t>
      </w:r>
      <w:r w:rsidR="00C66ABB">
        <w:br/>
        <w:t xml:space="preserve"> </w:t>
      </w:r>
    </w:p>
    <w:p w14:paraId="4DA03D12" w14:textId="77777777" w:rsidR="00BE29C1" w:rsidRPr="00A23F93" w:rsidRDefault="00DB6B18" w:rsidP="002C423C">
      <w:pPr>
        <w:pStyle w:val="Paragraphheaderprussiannavy"/>
      </w:pPr>
      <w:r>
        <w:t>Calendar</w:t>
      </w:r>
      <w:r w:rsidR="002C423C" w:rsidRPr="00A23F93">
        <w:t xml:space="preserve"> yearly performance (%)</w:t>
      </w:r>
    </w:p>
    <w:p w14:paraId="1753A81E" w14:textId="77777777" w:rsidR="00A119CB" w:rsidRDefault="008E3C39" w:rsidP="00BE29C1">
      <w:pPr>
        <w:pStyle w:val="BodytextRegular"/>
      </w:pPr>
      <w:r w:rsidRPr="008E3C39">
        <w:rPr>
          <w:b/>
          <w:bCs/>
        </w:rPr>
        <w:t>Past performance is not a guide to future performance and may not be repeated</w:t>
      </w:r>
      <w:r w:rsidR="002C423C" w:rsidRPr="00A23F93">
        <w:rPr>
          <w:b/>
          <w:bCs/>
        </w:rPr>
        <w:t>.</w:t>
      </w:r>
    </w:p>
    <w:tbl>
      <w:tblPr>
        <w:tblStyle w:val="Table"/>
        <w:tblW w:w="5000" w:type="pct"/>
        <w:tblLook w:val="0620" w:firstRow="1" w:lastRow="0" w:firstColumn="0" w:lastColumn="0" w:noHBand="1" w:noVBand="1"/>
      </w:tblPr>
      <w:tblGrid>
        <w:gridCol w:w="2041"/>
        <w:gridCol w:w="2755"/>
        <w:gridCol w:w="2755"/>
        <w:gridCol w:w="2653"/>
      </w:tblGrid>
      <w:tr w:rsidR="00577226" w:rsidRPr="00A23F93" w14:paraId="494AB950" w14:textId="77777777" w:rsidTr="00275704">
        <w:trPr>
          <w:cnfStyle w:val="100000000000" w:firstRow="1" w:lastRow="0" w:firstColumn="0" w:lastColumn="0" w:oddVBand="0" w:evenVBand="0" w:oddHBand="0" w:evenHBand="0" w:firstRowFirstColumn="0" w:firstRowLastColumn="0" w:lastRowFirstColumn="0" w:lastRowLastColumn="0"/>
          <w:trHeight w:val="391"/>
        </w:trPr>
        <w:tc>
          <w:tcPr>
            <w:tcW w:w="1000" w:type="pct"/>
          </w:tcPr>
          <w:p w14:paraId="7F6552CC" w14:textId="77777777" w:rsidR="00577226" w:rsidRPr="00A23F93" w:rsidRDefault="00577226" w:rsidP="0013085F">
            <w:pPr>
              <w:pStyle w:val="Tabletext"/>
            </w:pPr>
            <w:r>
              <w:t>Period</w:t>
            </w:r>
          </w:p>
        </w:tc>
        <w:tc>
          <w:tcPr>
            <w:tcW w:w="1350" w:type="pct"/>
          </w:tcPr>
          <w:p w14:paraId="6D265C62" w14:textId="77777777" w:rsidR="00577226" w:rsidRPr="00A23F93" w:rsidRDefault="00501848" w:rsidP="0013085F">
            <w:pPr>
              <w:pStyle w:val="Tabletext"/>
              <w:ind w:right="563"/>
              <w:jc w:val="right"/>
            </w:pPr>
            <w:r>
              <w:t xml:space="preserve">Fund A Acc EUR </w:t>
            </w:r>
          </w:p>
        </w:tc>
        <w:tc>
          <w:tcPr>
            <w:tcW w:w="1350" w:type="pct"/>
          </w:tcPr>
          <w:p w14:paraId="73B31A9A" w14:textId="77777777" w:rsidR="00577226" w:rsidRDefault="00501848" w:rsidP="0013085F">
            <w:pPr>
              <w:pStyle w:val="Tabletext"/>
              <w:ind w:right="563"/>
              <w:jc w:val="right"/>
            </w:pPr>
            <w:r>
              <w:t>Fund I Acc EUR</w:t>
            </w:r>
            <w:r w:rsidR="00577226">
              <w:t xml:space="preserve"> </w:t>
            </w:r>
          </w:p>
        </w:tc>
        <w:tc>
          <w:tcPr>
            <w:tcW w:w="1300" w:type="pct"/>
          </w:tcPr>
          <w:p w14:paraId="391081A7" w14:textId="77777777" w:rsidR="00577226" w:rsidRPr="00501848" w:rsidRDefault="007B2F34" w:rsidP="0013085F">
            <w:pPr>
              <w:pStyle w:val="Tabletext"/>
              <w:ind w:right="563"/>
              <w:jc w:val="right"/>
              <w:rPr>
                <w:szCs w:val="18"/>
              </w:rPr>
            </w:pPr>
            <w:r>
              <w:rPr>
                <w:szCs w:val="18"/>
              </w:rPr>
              <w:t>Benchmark</w:t>
            </w:r>
            <w:r w:rsidR="00501848" w:rsidRPr="00501848">
              <w:rPr>
                <w:szCs w:val="18"/>
                <w:vertAlign w:val="superscript"/>
              </w:rPr>
              <w:t>1</w:t>
            </w:r>
            <w:r w:rsidR="00577226" w:rsidRPr="00501848">
              <w:rPr>
                <w:szCs w:val="18"/>
              </w:rPr>
              <w:t xml:space="preserve"> </w:t>
            </w:r>
          </w:p>
        </w:tc>
      </w:tr>
      <w:tr w:rsidR="00577226" w:rsidRPr="00A23F93" w14:paraId="14B63B99" w14:textId="77777777" w:rsidTr="00275704">
        <w:trPr>
          <w:trHeight w:val="391"/>
        </w:trPr>
        <w:tc>
          <w:tcPr>
            <w:tcW w:w="1000" w:type="pct"/>
            <w:vAlign w:val="top"/>
          </w:tcPr>
          <w:p w14:paraId="52B3FD24" w14:textId="77777777" w:rsidR="00577226" w:rsidRPr="00A23F93" w:rsidRDefault="00577226" w:rsidP="0013085F">
            <w:pPr>
              <w:pStyle w:val="Tabletext"/>
            </w:pPr>
            <w:r>
              <w:t xml:space="preserve">2025 </w:t>
            </w:r>
          </w:p>
        </w:tc>
        <w:tc>
          <w:tcPr>
            <w:tcW w:w="1350" w:type="pct"/>
            <w:vAlign w:val="top"/>
          </w:tcPr>
          <w:p w14:paraId="5E032811" w14:textId="77777777" w:rsidR="00577226" w:rsidRPr="00A23F93" w:rsidRDefault="00577226" w:rsidP="0013085F">
            <w:pPr>
              <w:pStyle w:val="Tabletext"/>
              <w:ind w:right="563"/>
              <w:jc w:val="right"/>
            </w:pPr>
            <w:r>
              <w:t xml:space="preserve">3.5 </w:t>
            </w:r>
          </w:p>
        </w:tc>
        <w:tc>
          <w:tcPr>
            <w:tcW w:w="1350" w:type="pct"/>
          </w:tcPr>
          <w:p w14:paraId="3A24F3C9" w14:textId="77777777" w:rsidR="00577226" w:rsidRDefault="00577226" w:rsidP="0013085F">
            <w:pPr>
              <w:pStyle w:val="Tabletext"/>
              <w:ind w:right="563"/>
              <w:jc w:val="right"/>
            </w:pPr>
            <w:r>
              <w:t xml:space="preserve">5.0 </w:t>
            </w:r>
          </w:p>
        </w:tc>
        <w:tc>
          <w:tcPr>
            <w:tcW w:w="1300" w:type="pct"/>
          </w:tcPr>
          <w:p w14:paraId="36A9372B" w14:textId="77777777" w:rsidR="00577226" w:rsidRPr="00A23F93" w:rsidRDefault="00577226" w:rsidP="0013085F">
            <w:pPr>
              <w:pStyle w:val="Tabletext"/>
              <w:ind w:right="563"/>
              <w:jc w:val="right"/>
            </w:pPr>
            <w:r>
              <w:t>3.7</w:t>
            </w:r>
          </w:p>
        </w:tc>
      </w:tr>
      <w:tr w:rsidR="00577226" w:rsidRPr="00A23F93" w14:paraId="3E21F2D0" w14:textId="77777777" w:rsidTr="00275704">
        <w:trPr>
          <w:trHeight w:val="391"/>
        </w:trPr>
        <w:tc>
          <w:tcPr>
            <w:tcW w:w="1000" w:type="pct"/>
            <w:vAlign w:val="top"/>
          </w:tcPr>
          <w:p w14:paraId="2E19214B" w14:textId="77777777" w:rsidR="00577226" w:rsidRPr="00A23F93" w:rsidRDefault="00577226" w:rsidP="0013085F">
            <w:pPr>
              <w:pStyle w:val="Tabletext"/>
            </w:pPr>
            <w:r>
              <w:t xml:space="preserve">2024 </w:t>
            </w:r>
          </w:p>
        </w:tc>
        <w:tc>
          <w:tcPr>
            <w:tcW w:w="1350" w:type="pct"/>
            <w:vAlign w:val="top"/>
          </w:tcPr>
          <w:p w14:paraId="151F0361" w14:textId="77777777" w:rsidR="00577226" w:rsidRPr="00A23F93" w:rsidRDefault="00577226" w:rsidP="0013085F">
            <w:pPr>
              <w:pStyle w:val="Tabletext"/>
              <w:ind w:right="563"/>
              <w:jc w:val="right"/>
            </w:pPr>
            <w:r>
              <w:t xml:space="preserve">6.7 </w:t>
            </w:r>
          </w:p>
        </w:tc>
        <w:tc>
          <w:tcPr>
            <w:tcW w:w="1350" w:type="pct"/>
          </w:tcPr>
          <w:p w14:paraId="61D15E81" w14:textId="77777777" w:rsidR="00577226" w:rsidRDefault="00577226" w:rsidP="0013085F">
            <w:pPr>
              <w:pStyle w:val="Tabletext"/>
              <w:ind w:right="563"/>
              <w:jc w:val="right"/>
            </w:pPr>
            <w:r>
              <w:t xml:space="preserve">8.2 </w:t>
            </w:r>
          </w:p>
        </w:tc>
        <w:tc>
          <w:tcPr>
            <w:tcW w:w="1300" w:type="pct"/>
          </w:tcPr>
          <w:p w14:paraId="38235288" w14:textId="77777777" w:rsidR="00577226" w:rsidRPr="00A23F93" w:rsidRDefault="00577226" w:rsidP="0013085F">
            <w:pPr>
              <w:pStyle w:val="Tabletext"/>
              <w:ind w:right="563"/>
              <w:jc w:val="right"/>
            </w:pPr>
            <w:r>
              <w:t>5.4</w:t>
            </w:r>
          </w:p>
        </w:tc>
      </w:tr>
      <w:tr w:rsidR="00577226" w:rsidRPr="00A23F93" w14:paraId="5C42C958" w14:textId="77777777" w:rsidTr="00275704">
        <w:trPr>
          <w:trHeight w:val="391"/>
        </w:trPr>
        <w:tc>
          <w:tcPr>
            <w:tcW w:w="1000" w:type="pct"/>
            <w:vAlign w:val="top"/>
          </w:tcPr>
          <w:p w14:paraId="376CF360" w14:textId="77777777" w:rsidR="00577226" w:rsidRPr="00A23F93" w:rsidRDefault="00577226" w:rsidP="0013085F">
            <w:pPr>
              <w:pStyle w:val="Tabletext"/>
            </w:pPr>
            <w:r>
              <w:t xml:space="preserve">2023 </w:t>
            </w:r>
          </w:p>
        </w:tc>
        <w:tc>
          <w:tcPr>
            <w:tcW w:w="1350" w:type="pct"/>
            <w:vAlign w:val="top"/>
          </w:tcPr>
          <w:p w14:paraId="69C16D3C" w14:textId="77777777" w:rsidR="00577226" w:rsidRPr="00A23F93" w:rsidRDefault="00577226" w:rsidP="0013085F">
            <w:pPr>
              <w:pStyle w:val="Tabletext"/>
              <w:ind w:right="563"/>
              <w:jc w:val="right"/>
            </w:pPr>
            <w:r>
              <w:t xml:space="preserve">9.2 </w:t>
            </w:r>
          </w:p>
        </w:tc>
        <w:tc>
          <w:tcPr>
            <w:tcW w:w="1350" w:type="pct"/>
          </w:tcPr>
          <w:p w14:paraId="3C887BF3" w14:textId="77777777" w:rsidR="00577226" w:rsidRDefault="00577226" w:rsidP="0013085F">
            <w:pPr>
              <w:pStyle w:val="Tabletext"/>
              <w:ind w:right="563"/>
              <w:jc w:val="right"/>
            </w:pPr>
            <w:r>
              <w:t xml:space="preserve">10.7 </w:t>
            </w:r>
          </w:p>
        </w:tc>
        <w:tc>
          <w:tcPr>
            <w:tcW w:w="1300" w:type="pct"/>
          </w:tcPr>
          <w:p w14:paraId="5B07FB5B" w14:textId="77777777" w:rsidR="00577226" w:rsidRPr="00A23F93" w:rsidRDefault="00577226" w:rsidP="0013085F">
            <w:pPr>
              <w:pStyle w:val="Tabletext"/>
              <w:ind w:right="563"/>
              <w:jc w:val="right"/>
            </w:pPr>
            <w:r>
              <w:t>6.4</w:t>
            </w:r>
          </w:p>
        </w:tc>
      </w:tr>
      <w:tr w:rsidR="00577226" w:rsidRPr="00A23F93" w14:paraId="1EA2B72B" w14:textId="77777777" w:rsidTr="00275704">
        <w:trPr>
          <w:trHeight w:val="391"/>
        </w:trPr>
        <w:tc>
          <w:tcPr>
            <w:tcW w:w="1000" w:type="pct"/>
            <w:vAlign w:val="top"/>
          </w:tcPr>
          <w:p w14:paraId="09331568" w14:textId="77777777" w:rsidR="00577226" w:rsidRPr="00A23F93" w:rsidRDefault="00577226" w:rsidP="0013085F">
            <w:pPr>
              <w:pStyle w:val="Tabletext"/>
            </w:pPr>
            <w:r>
              <w:t xml:space="preserve">2022 </w:t>
            </w:r>
          </w:p>
        </w:tc>
        <w:tc>
          <w:tcPr>
            <w:tcW w:w="1350" w:type="pct"/>
            <w:vAlign w:val="top"/>
          </w:tcPr>
          <w:p w14:paraId="07C8E17E" w14:textId="77777777" w:rsidR="00577226" w:rsidRPr="00A23F93" w:rsidRDefault="00577226" w:rsidP="0013085F">
            <w:pPr>
              <w:pStyle w:val="Tabletext"/>
              <w:ind w:right="563"/>
              <w:jc w:val="right"/>
            </w:pPr>
            <w:r>
              <w:t xml:space="preserve">-11.6 </w:t>
            </w:r>
          </w:p>
        </w:tc>
        <w:tc>
          <w:tcPr>
            <w:tcW w:w="1350" w:type="pct"/>
          </w:tcPr>
          <w:p w14:paraId="407F66C8" w14:textId="77777777" w:rsidR="00577226" w:rsidRDefault="00577226" w:rsidP="0013085F">
            <w:pPr>
              <w:pStyle w:val="Tabletext"/>
              <w:ind w:right="563"/>
              <w:jc w:val="right"/>
            </w:pPr>
            <w:r>
              <w:t xml:space="preserve">-10.3 </w:t>
            </w:r>
          </w:p>
        </w:tc>
        <w:tc>
          <w:tcPr>
            <w:tcW w:w="1300" w:type="pct"/>
          </w:tcPr>
          <w:p w14:paraId="7296CF7C" w14:textId="77777777" w:rsidR="00577226" w:rsidRPr="00A23F93" w:rsidRDefault="00577226" w:rsidP="0013085F">
            <w:pPr>
              <w:pStyle w:val="Tabletext"/>
              <w:ind w:right="563"/>
              <w:jc w:val="right"/>
            </w:pPr>
            <w:r>
              <w:t>0.4</w:t>
            </w:r>
          </w:p>
        </w:tc>
      </w:tr>
      <w:tr w:rsidR="00577226" w:rsidRPr="00A23F93" w14:paraId="2C2BAFF6" w14:textId="77777777" w:rsidTr="00275704">
        <w:trPr>
          <w:trHeight w:val="391"/>
        </w:trPr>
        <w:tc>
          <w:tcPr>
            <w:tcW w:w="1000" w:type="pct"/>
            <w:vAlign w:val="top"/>
          </w:tcPr>
          <w:p w14:paraId="6359AE7B" w14:textId="77777777" w:rsidR="00577226" w:rsidRPr="00A23F93" w:rsidRDefault="00577226" w:rsidP="0013085F">
            <w:pPr>
              <w:pStyle w:val="Tabletext"/>
            </w:pPr>
            <w:r>
              <w:t xml:space="preserve">2021 </w:t>
            </w:r>
          </w:p>
        </w:tc>
        <w:tc>
          <w:tcPr>
            <w:tcW w:w="1350" w:type="pct"/>
            <w:vAlign w:val="top"/>
          </w:tcPr>
          <w:p w14:paraId="028797ED" w14:textId="77777777" w:rsidR="00577226" w:rsidRPr="00A23F93" w:rsidRDefault="00577226" w:rsidP="0013085F">
            <w:pPr>
              <w:pStyle w:val="Tabletext"/>
              <w:ind w:right="563"/>
              <w:jc w:val="right"/>
            </w:pPr>
            <w:r>
              <w:t xml:space="preserve">-0.7 </w:t>
            </w:r>
          </w:p>
        </w:tc>
        <w:tc>
          <w:tcPr>
            <w:tcW w:w="1350" w:type="pct"/>
          </w:tcPr>
          <w:p w14:paraId="26DC2083" w14:textId="77777777" w:rsidR="00577226" w:rsidRDefault="00577226" w:rsidP="0013085F">
            <w:pPr>
              <w:pStyle w:val="Tabletext"/>
              <w:ind w:right="563"/>
              <w:jc w:val="right"/>
            </w:pPr>
            <w:r>
              <w:t xml:space="preserve">0.7 </w:t>
            </w:r>
          </w:p>
        </w:tc>
        <w:tc>
          <w:tcPr>
            <w:tcW w:w="1300" w:type="pct"/>
          </w:tcPr>
          <w:p w14:paraId="65D80B05" w14:textId="77777777" w:rsidR="00577226" w:rsidRPr="00A23F93" w:rsidRDefault="00577226" w:rsidP="0013085F">
            <w:pPr>
              <w:pStyle w:val="Tabletext"/>
              <w:ind w:right="563"/>
              <w:jc w:val="right"/>
            </w:pPr>
            <w:r>
              <w:t>-0.5</w:t>
            </w:r>
          </w:p>
        </w:tc>
      </w:tr>
      <w:tr w:rsidR="00577226" w:rsidRPr="00A23F93" w14:paraId="243EF097" w14:textId="77777777" w:rsidTr="00275704">
        <w:trPr>
          <w:trHeight w:val="391"/>
        </w:trPr>
        <w:tc>
          <w:tcPr>
            <w:tcW w:w="1000" w:type="pct"/>
            <w:vAlign w:val="top"/>
          </w:tcPr>
          <w:p w14:paraId="230A2E7C" w14:textId="77777777" w:rsidR="00577226" w:rsidRPr="00A23F93" w:rsidRDefault="00577226" w:rsidP="0013085F">
            <w:pPr>
              <w:pStyle w:val="Tabletext"/>
            </w:pPr>
            <w:r>
              <w:t xml:space="preserve">2020 </w:t>
            </w:r>
          </w:p>
        </w:tc>
        <w:tc>
          <w:tcPr>
            <w:tcW w:w="1350" w:type="pct"/>
            <w:vAlign w:val="top"/>
          </w:tcPr>
          <w:p w14:paraId="58A614C6" w14:textId="77777777" w:rsidR="00577226" w:rsidRPr="00A23F93" w:rsidRDefault="00577226" w:rsidP="0013085F">
            <w:pPr>
              <w:pStyle w:val="Tabletext"/>
              <w:ind w:right="563"/>
              <w:jc w:val="right"/>
            </w:pPr>
            <w:r>
              <w:t xml:space="preserve">2.8 </w:t>
            </w:r>
          </w:p>
        </w:tc>
        <w:tc>
          <w:tcPr>
            <w:tcW w:w="1350" w:type="pct"/>
          </w:tcPr>
          <w:p w14:paraId="7677E5F0" w14:textId="77777777" w:rsidR="00577226" w:rsidRDefault="00577226" w:rsidP="0013085F">
            <w:pPr>
              <w:pStyle w:val="Tabletext"/>
              <w:ind w:right="563"/>
              <w:jc w:val="right"/>
            </w:pPr>
            <w:r>
              <w:t xml:space="preserve">4.3 </w:t>
            </w:r>
          </w:p>
        </w:tc>
        <w:tc>
          <w:tcPr>
            <w:tcW w:w="1300" w:type="pct"/>
          </w:tcPr>
          <w:p w14:paraId="70BD2B9C" w14:textId="77777777" w:rsidR="00577226" w:rsidRPr="00A23F93" w:rsidRDefault="00577226" w:rsidP="0013085F">
            <w:pPr>
              <w:pStyle w:val="Tabletext"/>
              <w:ind w:right="563"/>
              <w:jc w:val="right"/>
            </w:pPr>
            <w:r>
              <w:t>-0.4</w:t>
            </w:r>
          </w:p>
        </w:tc>
      </w:tr>
      <w:tr w:rsidR="00577226" w:rsidRPr="00A23F93" w14:paraId="4EFADDD6" w14:textId="77777777" w:rsidTr="00275704">
        <w:trPr>
          <w:trHeight w:val="391"/>
        </w:trPr>
        <w:tc>
          <w:tcPr>
            <w:tcW w:w="1000" w:type="pct"/>
            <w:vAlign w:val="top"/>
          </w:tcPr>
          <w:p w14:paraId="1DA0A082" w14:textId="77777777" w:rsidR="00577226" w:rsidRPr="00A23F93" w:rsidRDefault="00577226" w:rsidP="0013085F">
            <w:pPr>
              <w:pStyle w:val="Tabletext"/>
            </w:pPr>
            <w:r>
              <w:t xml:space="preserve">2019 </w:t>
            </w:r>
          </w:p>
        </w:tc>
        <w:tc>
          <w:tcPr>
            <w:tcW w:w="1350" w:type="pct"/>
            <w:vAlign w:val="top"/>
          </w:tcPr>
          <w:p w14:paraId="363A51ED" w14:textId="77777777" w:rsidR="00577226" w:rsidRPr="00A23F93" w:rsidRDefault="00577226" w:rsidP="0013085F">
            <w:pPr>
              <w:pStyle w:val="Tabletext"/>
              <w:ind w:right="563"/>
              <w:jc w:val="right"/>
            </w:pPr>
            <w:r>
              <w:t xml:space="preserve">6.5 </w:t>
            </w:r>
          </w:p>
        </w:tc>
        <w:tc>
          <w:tcPr>
            <w:tcW w:w="1350" w:type="pct"/>
          </w:tcPr>
          <w:p w14:paraId="7665BB80" w14:textId="77777777" w:rsidR="00577226" w:rsidRDefault="00577226" w:rsidP="0013085F">
            <w:pPr>
              <w:pStyle w:val="Tabletext"/>
              <w:ind w:right="563"/>
              <w:jc w:val="right"/>
            </w:pPr>
            <w:r>
              <w:t xml:space="preserve">8.0 </w:t>
            </w:r>
          </w:p>
        </w:tc>
        <w:tc>
          <w:tcPr>
            <w:tcW w:w="1300" w:type="pct"/>
          </w:tcPr>
          <w:p w14:paraId="37D70580" w14:textId="77777777" w:rsidR="00577226" w:rsidRPr="00A23F93" w:rsidRDefault="00577226" w:rsidP="0013085F">
            <w:pPr>
              <w:pStyle w:val="Tabletext"/>
              <w:ind w:right="563"/>
              <w:jc w:val="right"/>
            </w:pPr>
            <w:r>
              <w:t>-0.4</w:t>
            </w:r>
          </w:p>
        </w:tc>
      </w:tr>
      <w:tr w:rsidR="00577226" w:rsidRPr="00A23F93" w14:paraId="7B4CBCEE" w14:textId="77777777" w:rsidTr="00275704">
        <w:trPr>
          <w:trHeight w:val="391"/>
        </w:trPr>
        <w:tc>
          <w:tcPr>
            <w:tcW w:w="1000" w:type="pct"/>
            <w:vAlign w:val="top"/>
          </w:tcPr>
          <w:p w14:paraId="091D2885" w14:textId="77777777" w:rsidR="00577226" w:rsidRPr="00A23F93" w:rsidRDefault="00577226" w:rsidP="0013085F">
            <w:pPr>
              <w:pStyle w:val="Tabletext"/>
            </w:pPr>
            <w:r>
              <w:lastRenderedPageBreak/>
              <w:t xml:space="preserve">2018 </w:t>
            </w:r>
          </w:p>
        </w:tc>
        <w:tc>
          <w:tcPr>
            <w:tcW w:w="1350" w:type="pct"/>
            <w:vAlign w:val="top"/>
          </w:tcPr>
          <w:p w14:paraId="3EA83E9F" w14:textId="77777777" w:rsidR="00577226" w:rsidRPr="00A23F93" w:rsidRDefault="00577226" w:rsidP="0013085F">
            <w:pPr>
              <w:pStyle w:val="Tabletext"/>
              <w:ind w:right="563"/>
              <w:jc w:val="right"/>
            </w:pPr>
            <w:r>
              <w:t xml:space="preserve">-4.2 </w:t>
            </w:r>
          </w:p>
        </w:tc>
        <w:tc>
          <w:tcPr>
            <w:tcW w:w="1350" w:type="pct"/>
          </w:tcPr>
          <w:p w14:paraId="57773E77" w14:textId="77777777" w:rsidR="00577226" w:rsidRDefault="00577226" w:rsidP="0013085F">
            <w:pPr>
              <w:pStyle w:val="Tabletext"/>
              <w:ind w:right="563"/>
              <w:jc w:val="right"/>
            </w:pPr>
            <w:r>
              <w:t xml:space="preserve">-2.8 </w:t>
            </w:r>
          </w:p>
        </w:tc>
        <w:tc>
          <w:tcPr>
            <w:tcW w:w="1300" w:type="pct"/>
          </w:tcPr>
          <w:p w14:paraId="14A439DE" w14:textId="77777777" w:rsidR="00577226" w:rsidRPr="00A23F93" w:rsidRDefault="00577226" w:rsidP="0013085F">
            <w:pPr>
              <w:pStyle w:val="Tabletext"/>
              <w:ind w:right="563"/>
              <w:jc w:val="right"/>
            </w:pPr>
            <w:r>
              <w:t>-0.4</w:t>
            </w:r>
          </w:p>
        </w:tc>
      </w:tr>
      <w:tr w:rsidR="00577226" w:rsidRPr="00A23F93" w14:paraId="4DD13117" w14:textId="77777777" w:rsidTr="00275704">
        <w:trPr>
          <w:trHeight w:val="391"/>
        </w:trPr>
        <w:tc>
          <w:tcPr>
            <w:tcW w:w="1000" w:type="pct"/>
            <w:vAlign w:val="top"/>
          </w:tcPr>
          <w:p w14:paraId="49F8FB02" w14:textId="77777777" w:rsidR="00577226" w:rsidRPr="00A23F93" w:rsidRDefault="00577226" w:rsidP="0013085F">
            <w:pPr>
              <w:pStyle w:val="Tabletext"/>
            </w:pPr>
            <w:r>
              <w:t xml:space="preserve">2017 </w:t>
            </w:r>
          </w:p>
        </w:tc>
        <w:tc>
          <w:tcPr>
            <w:tcW w:w="1350" w:type="pct"/>
            <w:vAlign w:val="top"/>
          </w:tcPr>
          <w:p w14:paraId="6FC26200" w14:textId="77777777" w:rsidR="00577226" w:rsidRPr="00A23F93" w:rsidRDefault="00577226" w:rsidP="0013085F">
            <w:pPr>
              <w:pStyle w:val="Tabletext"/>
              <w:ind w:right="563"/>
              <w:jc w:val="right"/>
            </w:pPr>
            <w:r>
              <w:t xml:space="preserve">3.7 </w:t>
            </w:r>
          </w:p>
        </w:tc>
        <w:tc>
          <w:tcPr>
            <w:tcW w:w="1350" w:type="pct"/>
          </w:tcPr>
          <w:p w14:paraId="0F3697E2" w14:textId="77777777" w:rsidR="00577226" w:rsidRDefault="00577226" w:rsidP="0013085F">
            <w:pPr>
              <w:pStyle w:val="Tabletext"/>
              <w:ind w:right="563"/>
              <w:jc w:val="right"/>
            </w:pPr>
            <w:r>
              <w:t xml:space="preserve">5.2 </w:t>
            </w:r>
          </w:p>
        </w:tc>
        <w:tc>
          <w:tcPr>
            <w:tcW w:w="1300" w:type="pct"/>
          </w:tcPr>
          <w:p w14:paraId="3C6D7292" w14:textId="77777777" w:rsidR="00577226" w:rsidRPr="00A23F93" w:rsidRDefault="00577226" w:rsidP="0013085F">
            <w:pPr>
              <w:pStyle w:val="Tabletext"/>
              <w:ind w:right="563"/>
              <w:jc w:val="right"/>
            </w:pPr>
            <w:r>
              <w:t>-0.3</w:t>
            </w:r>
          </w:p>
        </w:tc>
      </w:tr>
      <w:tr w:rsidR="00577226" w:rsidRPr="00A23F93" w14:paraId="4A1DCEED" w14:textId="77777777" w:rsidTr="00275704">
        <w:trPr>
          <w:trHeight w:val="391"/>
        </w:trPr>
        <w:tc>
          <w:tcPr>
            <w:tcW w:w="1000" w:type="pct"/>
            <w:vAlign w:val="top"/>
          </w:tcPr>
          <w:p w14:paraId="6D552854" w14:textId="77777777" w:rsidR="00577226" w:rsidRPr="00A23F93" w:rsidRDefault="00577226" w:rsidP="0013085F">
            <w:pPr>
              <w:pStyle w:val="Tabletext"/>
            </w:pPr>
            <w:r>
              <w:t xml:space="preserve">2016 </w:t>
            </w:r>
          </w:p>
        </w:tc>
        <w:tc>
          <w:tcPr>
            <w:tcW w:w="1350" w:type="pct"/>
            <w:vAlign w:val="top"/>
          </w:tcPr>
          <w:p w14:paraId="76F90AB6" w14:textId="77777777" w:rsidR="00577226" w:rsidRPr="00A23F93" w:rsidRDefault="00577226" w:rsidP="0013085F">
            <w:pPr>
              <w:pStyle w:val="Tabletext"/>
              <w:ind w:right="563"/>
              <w:jc w:val="right"/>
            </w:pPr>
            <w:r>
              <w:t xml:space="preserve">3.0 </w:t>
            </w:r>
          </w:p>
        </w:tc>
        <w:tc>
          <w:tcPr>
            <w:tcW w:w="1350" w:type="pct"/>
          </w:tcPr>
          <w:p w14:paraId="4B1CCD0C" w14:textId="77777777" w:rsidR="00577226" w:rsidRDefault="00577226" w:rsidP="0013085F">
            <w:pPr>
              <w:pStyle w:val="Tabletext"/>
              <w:ind w:right="563"/>
              <w:jc w:val="right"/>
            </w:pPr>
            <w:r>
              <w:t xml:space="preserve">4.5 </w:t>
            </w:r>
          </w:p>
        </w:tc>
        <w:tc>
          <w:tcPr>
            <w:tcW w:w="1300" w:type="pct"/>
          </w:tcPr>
          <w:p w14:paraId="2AF3129D" w14:textId="77777777" w:rsidR="00577226" w:rsidRPr="00A23F93" w:rsidRDefault="00577226" w:rsidP="0013085F">
            <w:pPr>
              <w:pStyle w:val="Tabletext"/>
              <w:ind w:right="563"/>
              <w:jc w:val="right"/>
            </w:pPr>
            <w:r>
              <w:t>-0.3</w:t>
            </w:r>
          </w:p>
        </w:tc>
      </w:tr>
    </w:tbl>
    <w:p w14:paraId="74983548" w14:textId="77777777" w:rsidR="005C664A" w:rsidRDefault="005C664A" w:rsidP="00BD7ADB">
      <w:pPr>
        <w:pStyle w:val="BodytextRegular"/>
        <w:spacing w:after="0" w:line="190" w:lineRule="exact"/>
      </w:pPr>
    </w:p>
    <w:p w14:paraId="0E410D89" w14:textId="77777777" w:rsidR="007D25B6" w:rsidRPr="00826685" w:rsidRDefault="00C20672" w:rsidP="007D25B6">
      <w:pPr>
        <w:pStyle w:val="Sourcetext"/>
        <w:rPr>
          <w:b/>
          <w:bCs/>
          <w:sz w:val="19"/>
          <w:szCs w:val="22"/>
        </w:rPr>
      </w:pPr>
      <w:bookmarkStart w:id="2" w:name="_Hlk208599288"/>
      <w:r w:rsidRPr="00F25AB6">
        <w:rPr>
          <w:szCs w:val="16"/>
        </w:rPr>
        <w:t>Source: Schroders, Morningstar, as of 30 April 2026. Performance shown is based on the currency of the share class shown and is net of fees. Please see factsheet for other share classes. The value of investments and the income from them may go down as well as up and investors may not get back the amount originally invested.</w:t>
      </w:r>
      <w:r w:rsidRPr="002061AF">
        <w:rPr>
          <w:szCs w:val="16"/>
        </w:rPr>
        <w:t xml:space="preserve"> </w:t>
      </w:r>
      <w:r w:rsidRPr="00F25AB6">
        <w:rPr>
          <w:b/>
          <w:bCs/>
          <w:szCs w:val="16"/>
        </w:rPr>
        <w:t>Exchange rate changes may cause the value of investments to fall as well as rise.</w:t>
      </w:r>
      <w:r w:rsidRPr="00F25AB6">
        <w:rPr>
          <w:szCs w:val="16"/>
        </w:rPr>
        <w:t xml:space="preserve"> Performance data does not </w:t>
      </w:r>
      <w:proofErr w:type="gramStart"/>
      <w:r w:rsidRPr="00F25AB6">
        <w:rPr>
          <w:szCs w:val="16"/>
        </w:rPr>
        <w:t>take into account</w:t>
      </w:r>
      <w:proofErr w:type="gramEnd"/>
      <w:r w:rsidRPr="00F25AB6">
        <w:rPr>
          <w:szCs w:val="16"/>
        </w:rPr>
        <w:t xml:space="preserve"> any commissions and costs, if any, charged when units or shares of any fund, as applicable, are issued and redeeme</w:t>
      </w:r>
      <w:r w:rsidRPr="002061AF">
        <w:rPr>
          <w:szCs w:val="16"/>
        </w:rPr>
        <w:t>d</w:t>
      </w:r>
      <w:r w:rsidRPr="00826685">
        <w:rPr>
          <w:bCs/>
          <w:szCs w:val="16"/>
        </w:rPr>
        <w:t>.</w:t>
      </w:r>
      <w:bookmarkEnd w:id="2"/>
      <w:r w:rsidR="00CF55DA" w:rsidRPr="00EA57CD">
        <w:rPr>
          <w:b/>
          <w:bCs/>
        </w:rPr>
        <w:t xml:space="preserve"> </w:t>
      </w:r>
      <w:r w:rsidR="00CB3320" w:rsidRPr="002D7184">
        <w:t xml:space="preserve">The Fund’s investment universe is expected to overlap materially with the components of the target benchmark. The investment manager invests on a discretionary basis and there are no restrictions on the extent to which the Fund’s portfolio and performance may deviate from the target benchmark. The investment manager will invest in companies or sectors not included in the target benchmark </w:t>
      </w:r>
      <w:proofErr w:type="gramStart"/>
      <w:r w:rsidR="00CB3320" w:rsidRPr="002D7184">
        <w:t>in order to</w:t>
      </w:r>
      <w:proofErr w:type="gramEnd"/>
      <w:r w:rsidR="00CB3320" w:rsidRPr="002D7184">
        <w:t xml:space="preserve"> take advantage of specific investment opportunities.</w:t>
      </w:r>
      <w:r w:rsidR="00CB3320">
        <w:t xml:space="preserve"> </w:t>
      </w:r>
    </w:p>
    <w:p w14:paraId="70B0F657" w14:textId="77777777" w:rsidR="00253684" w:rsidRPr="00257058" w:rsidRDefault="00253684" w:rsidP="00257058">
      <w:pPr>
        <w:pStyle w:val="BodytextRegular"/>
        <w:spacing w:before="60" w:after="0" w:line="190" w:lineRule="exact"/>
        <w:rPr>
          <w:sz w:val="16"/>
          <w:szCs w:val="16"/>
        </w:rPr>
      </w:pPr>
      <w:r w:rsidRPr="00CF4D44">
        <w:rPr>
          <w:sz w:val="16"/>
          <w:szCs w:val="16"/>
          <w:vertAlign w:val="superscript"/>
        </w:rPr>
        <w:t>1</w:t>
      </w:r>
      <w:r>
        <w:rPr>
          <w:sz w:val="16"/>
          <w:szCs w:val="16"/>
        </w:rPr>
        <w:t>Benchmark</w:t>
      </w:r>
      <w:r w:rsidRPr="00CF4D44">
        <w:rPr>
          <w:sz w:val="16"/>
          <w:szCs w:val="16"/>
        </w:rPr>
        <w:t xml:space="preserve"> refers to </w:t>
      </w:r>
      <w:r>
        <w:rPr>
          <w:sz w:val="16"/>
          <w:szCs w:val="16"/>
        </w:rPr>
        <w:t>ICE BofA 1-5 Year BBB EURO Corporate Index.</w:t>
      </w:r>
    </w:p>
    <w:p w14:paraId="4FE762F0" w14:textId="77777777" w:rsidR="007F6A85" w:rsidRPr="00642BAB" w:rsidRDefault="007F6A85" w:rsidP="00FF2E39">
      <w:pPr>
        <w:pStyle w:val="Paragraphheaderprussiannavy"/>
        <w:rPr>
          <w:b w:val="0"/>
        </w:rPr>
      </w:pPr>
      <w:r>
        <w:t>P</w:t>
      </w:r>
      <w:r w:rsidRPr="00A23F93">
        <w:t xml:space="preserve">erformance </w:t>
      </w:r>
      <w:r>
        <w:t xml:space="preserve">snapshot </w:t>
      </w:r>
      <w:r w:rsidRPr="00A23F93">
        <w:t>(%)</w:t>
      </w:r>
    </w:p>
    <w:p w14:paraId="7ACB6A6D" w14:textId="77777777" w:rsidR="007F6A85" w:rsidRDefault="00843726" w:rsidP="007F6A85">
      <w:pPr>
        <w:pStyle w:val="Sourcetext"/>
        <w:rPr>
          <w:b/>
          <w:bCs/>
          <w:sz w:val="18"/>
          <w:szCs w:val="18"/>
        </w:rPr>
      </w:pPr>
      <w:r w:rsidRPr="00843726">
        <w:rPr>
          <w:b/>
          <w:bCs/>
          <w:sz w:val="18"/>
          <w:szCs w:val="18"/>
        </w:rPr>
        <w:t>Past performance is not a guide to future performance and may not be repeated</w:t>
      </w:r>
      <w:r w:rsidR="007F6A85" w:rsidRPr="00CE1A02">
        <w:rPr>
          <w:b/>
          <w:bCs/>
          <w:sz w:val="18"/>
          <w:szCs w:val="18"/>
        </w:rPr>
        <w:t>.</w:t>
      </w:r>
    </w:p>
    <w:p w14:paraId="68BEBE3F" w14:textId="77777777" w:rsidR="00E848AA" w:rsidRDefault="00E848AA" w:rsidP="007F6A85">
      <w:pPr>
        <w:pStyle w:val="Sourcetext"/>
        <w:rPr>
          <w:b/>
          <w:bCs/>
          <w:sz w:val="18"/>
          <w:szCs w:val="18"/>
        </w:rPr>
      </w:pPr>
    </w:p>
    <w:tbl>
      <w:tblPr>
        <w:tblStyle w:val="Table"/>
        <w:tblW w:w="5000" w:type="pct"/>
        <w:tblLook w:val="04A0" w:firstRow="1" w:lastRow="0" w:firstColumn="1" w:lastColumn="0" w:noHBand="0" w:noVBand="1"/>
      </w:tblPr>
      <w:tblGrid>
        <w:gridCol w:w="2532"/>
        <w:gridCol w:w="968"/>
        <w:gridCol w:w="985"/>
        <w:gridCol w:w="921"/>
        <w:gridCol w:w="932"/>
        <w:gridCol w:w="949"/>
        <w:gridCol w:w="949"/>
        <w:gridCol w:w="949"/>
        <w:gridCol w:w="1019"/>
      </w:tblGrid>
      <w:tr w:rsidR="00A9058B" w14:paraId="5DB74E6F" w14:textId="77777777" w:rsidTr="00FB5608">
        <w:trPr>
          <w:cnfStyle w:val="100000000000" w:firstRow="1" w:lastRow="0" w:firstColumn="0" w:lastColumn="0" w:oddVBand="0" w:evenVBand="0" w:oddHBand="0"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2835" w:type="dxa"/>
          </w:tcPr>
          <w:p w14:paraId="78957164" w14:textId="77777777" w:rsidR="00A9058B" w:rsidRDefault="00A9058B" w:rsidP="0013085F">
            <w:pPr>
              <w:pStyle w:val="BodytextRegular"/>
            </w:pPr>
          </w:p>
        </w:tc>
        <w:tc>
          <w:tcPr>
            <w:tcW w:w="1021" w:type="dxa"/>
          </w:tcPr>
          <w:p w14:paraId="182C08DC" w14:textId="77777777" w:rsidR="00A9058B" w:rsidRDefault="00980330" w:rsidP="0013085F">
            <w:pPr>
              <w:pStyle w:val="BodytextRegular"/>
              <w:jc w:val="right"/>
              <w:cnfStyle w:val="100000000000" w:firstRow="1" w:lastRow="0" w:firstColumn="0" w:lastColumn="0" w:oddVBand="0" w:evenVBand="0" w:oddHBand="0" w:evenHBand="0" w:firstRowFirstColumn="0" w:firstRowLastColumn="0" w:lastRowFirstColumn="0" w:lastRowLastColumn="0"/>
            </w:pPr>
            <w:r>
              <w:t>1 Month</w:t>
            </w:r>
            <w:r w:rsidR="00A9058B">
              <w:t xml:space="preserve"> </w:t>
            </w:r>
          </w:p>
        </w:tc>
        <w:tc>
          <w:tcPr>
            <w:tcW w:w="1021" w:type="dxa"/>
          </w:tcPr>
          <w:p w14:paraId="6C5C9964" w14:textId="77777777" w:rsidR="00A9058B" w:rsidRDefault="00980330" w:rsidP="0013085F">
            <w:pPr>
              <w:pStyle w:val="BodytextRegular"/>
              <w:jc w:val="right"/>
              <w:cnfStyle w:val="100000000000" w:firstRow="1" w:lastRow="0" w:firstColumn="0" w:lastColumn="0" w:oddVBand="0" w:evenVBand="0" w:oddHBand="0" w:evenHBand="0" w:firstRowFirstColumn="0" w:firstRowLastColumn="0" w:lastRowFirstColumn="0" w:lastRowLastColumn="0"/>
            </w:pPr>
            <w:r>
              <w:t>3 Months</w:t>
            </w:r>
            <w:r w:rsidR="00A9058B">
              <w:t xml:space="preserve"> </w:t>
            </w:r>
          </w:p>
        </w:tc>
        <w:tc>
          <w:tcPr>
            <w:tcW w:w="1021" w:type="dxa"/>
          </w:tcPr>
          <w:p w14:paraId="37757762" w14:textId="77777777" w:rsidR="00A9058B" w:rsidRDefault="00980330" w:rsidP="0013085F">
            <w:pPr>
              <w:pStyle w:val="BodytextRegular"/>
              <w:jc w:val="right"/>
              <w:cnfStyle w:val="100000000000" w:firstRow="1" w:lastRow="0" w:firstColumn="0" w:lastColumn="0" w:oddVBand="0" w:evenVBand="0" w:oddHBand="0" w:evenHBand="0" w:firstRowFirstColumn="0" w:firstRowLastColumn="0" w:lastRowFirstColumn="0" w:lastRowLastColumn="0"/>
            </w:pPr>
            <w:r>
              <w:t>YTD</w:t>
            </w:r>
            <w:r w:rsidR="00A9058B">
              <w:t xml:space="preserve"> </w:t>
            </w:r>
          </w:p>
        </w:tc>
        <w:tc>
          <w:tcPr>
            <w:tcW w:w="1021" w:type="dxa"/>
          </w:tcPr>
          <w:p w14:paraId="3071AD5D" w14:textId="77777777" w:rsidR="00A9058B" w:rsidRDefault="00980330" w:rsidP="0013085F">
            <w:pPr>
              <w:pStyle w:val="BodytextRegular"/>
              <w:jc w:val="right"/>
              <w:cnfStyle w:val="100000000000" w:firstRow="1" w:lastRow="0" w:firstColumn="0" w:lastColumn="0" w:oddVBand="0" w:evenVBand="0" w:oddHBand="0" w:evenHBand="0" w:firstRowFirstColumn="0" w:firstRowLastColumn="0" w:lastRowFirstColumn="0" w:lastRowLastColumn="0"/>
            </w:pPr>
            <w:r>
              <w:t>1 Year</w:t>
            </w:r>
            <w:r w:rsidR="00A9058B">
              <w:t xml:space="preserve"> </w:t>
            </w:r>
          </w:p>
        </w:tc>
        <w:tc>
          <w:tcPr>
            <w:tcW w:w="1021" w:type="dxa"/>
          </w:tcPr>
          <w:p w14:paraId="14149C8F" w14:textId="77777777" w:rsidR="00A9058B" w:rsidRDefault="00980330" w:rsidP="0013085F">
            <w:pPr>
              <w:pStyle w:val="BodytextRegular"/>
              <w:jc w:val="right"/>
              <w:cnfStyle w:val="100000000000" w:firstRow="1" w:lastRow="0" w:firstColumn="0" w:lastColumn="0" w:oddVBand="0" w:evenVBand="0" w:oddHBand="0" w:evenHBand="0" w:firstRowFirstColumn="0" w:firstRowLastColumn="0" w:lastRowFirstColumn="0" w:lastRowLastColumn="0"/>
            </w:pPr>
            <w:r>
              <w:t>3 Years p.a.</w:t>
            </w:r>
            <w:r w:rsidR="00A9058B">
              <w:t xml:space="preserve"> </w:t>
            </w:r>
          </w:p>
        </w:tc>
        <w:tc>
          <w:tcPr>
            <w:tcW w:w="1021" w:type="dxa"/>
          </w:tcPr>
          <w:p w14:paraId="75C6D045" w14:textId="77777777" w:rsidR="00A9058B" w:rsidRDefault="00980330" w:rsidP="0013085F">
            <w:pPr>
              <w:pStyle w:val="BodytextRegular"/>
              <w:jc w:val="right"/>
              <w:cnfStyle w:val="100000000000" w:firstRow="1" w:lastRow="0" w:firstColumn="0" w:lastColumn="0" w:oddVBand="0" w:evenVBand="0" w:oddHBand="0" w:evenHBand="0" w:firstRowFirstColumn="0" w:firstRowLastColumn="0" w:lastRowFirstColumn="0" w:lastRowLastColumn="0"/>
            </w:pPr>
            <w:r>
              <w:t>5 Years p.a.</w:t>
            </w:r>
            <w:r w:rsidR="00A9058B">
              <w:t xml:space="preserve"> </w:t>
            </w:r>
          </w:p>
        </w:tc>
        <w:tc>
          <w:tcPr>
            <w:tcW w:w="1021" w:type="dxa"/>
          </w:tcPr>
          <w:p w14:paraId="6730DB5A" w14:textId="77777777" w:rsidR="00A9058B" w:rsidRDefault="00980330" w:rsidP="0013085F">
            <w:pPr>
              <w:pStyle w:val="BodytextRegular"/>
              <w:jc w:val="right"/>
              <w:cnfStyle w:val="100000000000" w:firstRow="1" w:lastRow="0" w:firstColumn="0" w:lastColumn="0" w:oddVBand="0" w:evenVBand="0" w:oddHBand="0" w:evenHBand="0" w:firstRowFirstColumn="0" w:firstRowLastColumn="0" w:lastRowFirstColumn="0" w:lastRowLastColumn="0"/>
            </w:pPr>
            <w:r>
              <w:t>10 Years p.a.</w:t>
            </w:r>
            <w:r w:rsidR="00A9058B">
              <w:t xml:space="preserve"> </w:t>
            </w:r>
          </w:p>
        </w:tc>
        <w:tc>
          <w:tcPr>
            <w:tcW w:w="1021" w:type="dxa"/>
          </w:tcPr>
          <w:p w14:paraId="585C084D" w14:textId="77777777" w:rsidR="00A9058B" w:rsidRDefault="00980330" w:rsidP="0013085F">
            <w:pPr>
              <w:pStyle w:val="BodytextRegular"/>
              <w:jc w:val="right"/>
              <w:cnfStyle w:val="100000000000" w:firstRow="1" w:lastRow="0" w:firstColumn="0" w:lastColumn="0" w:oddVBand="0" w:evenVBand="0" w:oddHBand="0" w:evenHBand="0" w:firstRowFirstColumn="0" w:firstRowLastColumn="0" w:lastRowFirstColumn="0" w:lastRowLastColumn="0"/>
            </w:pPr>
            <w:r>
              <w:t>Since Inception</w:t>
            </w:r>
            <w:r w:rsidR="00A9058B">
              <w:t xml:space="preserve"> </w:t>
            </w:r>
          </w:p>
        </w:tc>
      </w:tr>
      <w:tr w:rsidR="00A9058B" w14:paraId="57AE0ECC" w14:textId="77777777" w:rsidTr="00FB5608">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2835" w:type="dxa"/>
            <w:shd w:val="clear" w:color="auto" w:fill="FFFFFF" w:themeFill="background1"/>
          </w:tcPr>
          <w:p w14:paraId="5C48D7B5" w14:textId="77777777" w:rsidR="00A9058B" w:rsidRDefault="00DD71EF" w:rsidP="0013085F">
            <w:pPr>
              <w:pStyle w:val="BodytextRegular"/>
            </w:pPr>
            <w:r>
              <w:t xml:space="preserve">Fund A Acc EUR </w:t>
            </w:r>
          </w:p>
        </w:tc>
        <w:tc>
          <w:tcPr>
            <w:tcW w:w="1021" w:type="dxa"/>
          </w:tcPr>
          <w:p w14:paraId="71881D5B" w14:textId="77777777" w:rsidR="00A9058B" w:rsidRDefault="00A9058B" w:rsidP="0013085F">
            <w:pPr>
              <w:pStyle w:val="BodytextRegular"/>
              <w:jc w:val="right"/>
              <w:cnfStyle w:val="000000100000" w:firstRow="0" w:lastRow="0" w:firstColumn="0" w:lastColumn="0" w:oddVBand="0" w:evenVBand="0" w:oddHBand="1" w:evenHBand="0" w:firstRowFirstColumn="0" w:firstRowLastColumn="0" w:lastRowFirstColumn="0" w:lastRowLastColumn="0"/>
            </w:pPr>
            <w:r>
              <w:t xml:space="preserve">0.9 </w:t>
            </w:r>
          </w:p>
        </w:tc>
        <w:tc>
          <w:tcPr>
            <w:tcW w:w="1021" w:type="dxa"/>
          </w:tcPr>
          <w:p w14:paraId="0DDB2DC3" w14:textId="77777777" w:rsidR="00A9058B" w:rsidRDefault="00A9058B" w:rsidP="0013085F">
            <w:pPr>
              <w:pStyle w:val="BodytextRegular"/>
              <w:jc w:val="right"/>
              <w:cnfStyle w:val="000000100000" w:firstRow="0" w:lastRow="0" w:firstColumn="0" w:lastColumn="0" w:oddVBand="0" w:evenVBand="0" w:oddHBand="1" w:evenHBand="0" w:firstRowFirstColumn="0" w:firstRowLastColumn="0" w:lastRowFirstColumn="0" w:lastRowLastColumn="0"/>
            </w:pPr>
            <w:r>
              <w:t xml:space="preserve">-0.7 </w:t>
            </w:r>
          </w:p>
        </w:tc>
        <w:tc>
          <w:tcPr>
            <w:tcW w:w="1021" w:type="dxa"/>
          </w:tcPr>
          <w:p w14:paraId="2C775580" w14:textId="77777777" w:rsidR="00A9058B" w:rsidRDefault="00A9058B" w:rsidP="0013085F">
            <w:pPr>
              <w:pStyle w:val="BodytextRegular"/>
              <w:jc w:val="right"/>
              <w:cnfStyle w:val="000000100000" w:firstRow="0" w:lastRow="0" w:firstColumn="0" w:lastColumn="0" w:oddVBand="0" w:evenVBand="0" w:oddHBand="1" w:evenHBand="0" w:firstRowFirstColumn="0" w:firstRowLastColumn="0" w:lastRowFirstColumn="0" w:lastRowLastColumn="0"/>
            </w:pPr>
            <w:r>
              <w:t xml:space="preserve">-0.1 </w:t>
            </w:r>
          </w:p>
        </w:tc>
        <w:tc>
          <w:tcPr>
            <w:tcW w:w="1021" w:type="dxa"/>
          </w:tcPr>
          <w:p w14:paraId="7917EA29" w14:textId="77777777" w:rsidR="00A9058B" w:rsidRDefault="00A9058B" w:rsidP="0013085F">
            <w:pPr>
              <w:pStyle w:val="BodytextRegular"/>
              <w:jc w:val="right"/>
              <w:cnfStyle w:val="000000100000" w:firstRow="0" w:lastRow="0" w:firstColumn="0" w:lastColumn="0" w:oddVBand="0" w:evenVBand="0" w:oddHBand="1" w:evenHBand="0" w:firstRowFirstColumn="0" w:firstRowLastColumn="0" w:lastRowFirstColumn="0" w:lastRowLastColumn="0"/>
            </w:pPr>
            <w:r>
              <w:t xml:space="preserve">2.5 </w:t>
            </w:r>
          </w:p>
        </w:tc>
        <w:tc>
          <w:tcPr>
            <w:tcW w:w="1021" w:type="dxa"/>
          </w:tcPr>
          <w:p w14:paraId="257F1EDB" w14:textId="77777777" w:rsidR="00A9058B" w:rsidRDefault="00A9058B" w:rsidP="0013085F">
            <w:pPr>
              <w:pStyle w:val="BodytextRegular"/>
              <w:jc w:val="right"/>
              <w:cnfStyle w:val="000000100000" w:firstRow="0" w:lastRow="0" w:firstColumn="0" w:lastColumn="0" w:oddVBand="0" w:evenVBand="0" w:oddHBand="1" w:evenHBand="0" w:firstRowFirstColumn="0" w:firstRowLastColumn="0" w:lastRowFirstColumn="0" w:lastRowLastColumn="0"/>
            </w:pPr>
            <w:r>
              <w:t xml:space="preserve">5.4 </w:t>
            </w:r>
          </w:p>
        </w:tc>
        <w:tc>
          <w:tcPr>
            <w:tcW w:w="1021" w:type="dxa"/>
          </w:tcPr>
          <w:p w14:paraId="18CF8A0F" w14:textId="77777777" w:rsidR="00A9058B" w:rsidRDefault="00A9058B" w:rsidP="0013085F">
            <w:pPr>
              <w:pStyle w:val="BodytextRegular"/>
              <w:jc w:val="right"/>
              <w:cnfStyle w:val="000000100000" w:firstRow="0" w:lastRow="0" w:firstColumn="0" w:lastColumn="0" w:oddVBand="0" w:evenVBand="0" w:oddHBand="1" w:evenHBand="0" w:firstRowFirstColumn="0" w:firstRowLastColumn="0" w:lastRowFirstColumn="0" w:lastRowLastColumn="0"/>
            </w:pPr>
            <w:r>
              <w:t xml:space="preserve">1.1 </w:t>
            </w:r>
          </w:p>
        </w:tc>
        <w:tc>
          <w:tcPr>
            <w:tcW w:w="1021" w:type="dxa"/>
          </w:tcPr>
          <w:p w14:paraId="6CF01466" w14:textId="77777777" w:rsidR="00A9058B" w:rsidRDefault="00A9058B" w:rsidP="0013085F">
            <w:pPr>
              <w:pStyle w:val="BodytextRegular"/>
              <w:jc w:val="right"/>
              <w:cnfStyle w:val="000000100000" w:firstRow="0" w:lastRow="0" w:firstColumn="0" w:lastColumn="0" w:oddVBand="0" w:evenVBand="0" w:oddHBand="1" w:evenHBand="0" w:firstRowFirstColumn="0" w:firstRowLastColumn="0" w:lastRowFirstColumn="0" w:lastRowLastColumn="0"/>
            </w:pPr>
            <w:r>
              <w:t xml:space="preserve">1.6 </w:t>
            </w:r>
          </w:p>
        </w:tc>
        <w:tc>
          <w:tcPr>
            <w:tcW w:w="1021" w:type="dxa"/>
          </w:tcPr>
          <w:p w14:paraId="514B7AAD" w14:textId="77777777" w:rsidR="00A9058B" w:rsidRDefault="00A9058B" w:rsidP="0013085F">
            <w:pPr>
              <w:pStyle w:val="BodytextRegular"/>
              <w:jc w:val="right"/>
              <w:cnfStyle w:val="000000100000" w:firstRow="0" w:lastRow="0" w:firstColumn="0" w:lastColumn="0" w:oddVBand="0" w:evenVBand="0" w:oddHBand="1" w:evenHBand="0" w:firstRowFirstColumn="0" w:firstRowLastColumn="0" w:lastRowFirstColumn="0" w:lastRowLastColumn="0"/>
            </w:pPr>
            <w:r>
              <w:t xml:space="preserve">1.6 </w:t>
            </w:r>
          </w:p>
        </w:tc>
      </w:tr>
      <w:tr w:rsidR="00A9058B" w14:paraId="1EE6D91F" w14:textId="77777777" w:rsidTr="00FB5608">
        <w:trPr>
          <w:trHeight w:val="574"/>
        </w:trPr>
        <w:tc>
          <w:tcPr>
            <w:cnfStyle w:val="001000000000" w:firstRow="0" w:lastRow="0" w:firstColumn="1" w:lastColumn="0" w:oddVBand="0" w:evenVBand="0" w:oddHBand="0" w:evenHBand="0" w:firstRowFirstColumn="0" w:firstRowLastColumn="0" w:lastRowFirstColumn="0" w:lastRowLastColumn="0"/>
            <w:tcW w:w="2835" w:type="dxa"/>
            <w:shd w:val="clear" w:color="auto" w:fill="FFFFFF" w:themeFill="background1"/>
          </w:tcPr>
          <w:p w14:paraId="4B7A7AAE" w14:textId="77777777" w:rsidR="00A9058B" w:rsidRDefault="00DD71EF" w:rsidP="0013085F">
            <w:pPr>
              <w:pStyle w:val="BodytextRegular"/>
            </w:pPr>
            <w:r>
              <w:t xml:space="preserve">Fund I Acc EUR </w:t>
            </w:r>
          </w:p>
        </w:tc>
        <w:tc>
          <w:tcPr>
            <w:tcW w:w="1021" w:type="dxa"/>
          </w:tcPr>
          <w:p w14:paraId="34C1457F" w14:textId="77777777" w:rsidR="00A9058B" w:rsidRDefault="00A9058B" w:rsidP="0013085F">
            <w:pPr>
              <w:pStyle w:val="BodytextRegular"/>
              <w:jc w:val="right"/>
              <w:cnfStyle w:val="000000000000" w:firstRow="0" w:lastRow="0" w:firstColumn="0" w:lastColumn="0" w:oddVBand="0" w:evenVBand="0" w:oddHBand="0" w:evenHBand="0" w:firstRowFirstColumn="0" w:firstRowLastColumn="0" w:lastRowFirstColumn="0" w:lastRowLastColumn="0"/>
            </w:pPr>
            <w:r>
              <w:t>1.0</w:t>
            </w:r>
          </w:p>
        </w:tc>
        <w:tc>
          <w:tcPr>
            <w:tcW w:w="1021" w:type="dxa"/>
          </w:tcPr>
          <w:p w14:paraId="7593DC45" w14:textId="77777777" w:rsidR="00A9058B" w:rsidRDefault="00A9058B" w:rsidP="0013085F">
            <w:pPr>
              <w:pStyle w:val="BodytextRegular"/>
              <w:jc w:val="right"/>
              <w:cnfStyle w:val="000000000000" w:firstRow="0" w:lastRow="0" w:firstColumn="0" w:lastColumn="0" w:oddVBand="0" w:evenVBand="0" w:oddHBand="0" w:evenHBand="0" w:firstRowFirstColumn="0" w:firstRowLastColumn="0" w:lastRowFirstColumn="0" w:lastRowLastColumn="0"/>
            </w:pPr>
            <w:r>
              <w:t>-0.3</w:t>
            </w:r>
          </w:p>
        </w:tc>
        <w:tc>
          <w:tcPr>
            <w:tcW w:w="1021" w:type="dxa"/>
          </w:tcPr>
          <w:p w14:paraId="447639AE" w14:textId="77777777" w:rsidR="00A9058B" w:rsidRDefault="00A9058B" w:rsidP="0013085F">
            <w:pPr>
              <w:pStyle w:val="BodytextRegular"/>
              <w:jc w:val="right"/>
              <w:cnfStyle w:val="000000000000" w:firstRow="0" w:lastRow="0" w:firstColumn="0" w:lastColumn="0" w:oddVBand="0" w:evenVBand="0" w:oddHBand="0" w:evenHBand="0" w:firstRowFirstColumn="0" w:firstRowLastColumn="0" w:lastRowFirstColumn="0" w:lastRowLastColumn="0"/>
            </w:pPr>
            <w:r>
              <w:t>0.3</w:t>
            </w:r>
          </w:p>
        </w:tc>
        <w:tc>
          <w:tcPr>
            <w:tcW w:w="1021" w:type="dxa"/>
          </w:tcPr>
          <w:p w14:paraId="068F905F" w14:textId="77777777" w:rsidR="00A9058B" w:rsidRDefault="00A9058B" w:rsidP="0013085F">
            <w:pPr>
              <w:pStyle w:val="BodytextRegular"/>
              <w:jc w:val="right"/>
              <w:cnfStyle w:val="000000000000" w:firstRow="0" w:lastRow="0" w:firstColumn="0" w:lastColumn="0" w:oddVBand="0" w:evenVBand="0" w:oddHBand="0" w:evenHBand="0" w:firstRowFirstColumn="0" w:firstRowLastColumn="0" w:lastRowFirstColumn="0" w:lastRowLastColumn="0"/>
            </w:pPr>
            <w:r>
              <w:t>4.0</w:t>
            </w:r>
          </w:p>
        </w:tc>
        <w:tc>
          <w:tcPr>
            <w:tcW w:w="1021" w:type="dxa"/>
          </w:tcPr>
          <w:p w14:paraId="4CA23CEA" w14:textId="77777777" w:rsidR="00A9058B" w:rsidRDefault="00A9058B" w:rsidP="0013085F">
            <w:pPr>
              <w:pStyle w:val="BodytextRegular"/>
              <w:jc w:val="right"/>
              <w:cnfStyle w:val="000000000000" w:firstRow="0" w:lastRow="0" w:firstColumn="0" w:lastColumn="0" w:oddVBand="0" w:evenVBand="0" w:oddHBand="0" w:evenHBand="0" w:firstRowFirstColumn="0" w:firstRowLastColumn="0" w:lastRowFirstColumn="0" w:lastRowLastColumn="0"/>
            </w:pPr>
            <w:r>
              <w:t>7.0</w:t>
            </w:r>
          </w:p>
        </w:tc>
        <w:tc>
          <w:tcPr>
            <w:tcW w:w="1021" w:type="dxa"/>
          </w:tcPr>
          <w:p w14:paraId="0707C3E3" w14:textId="77777777" w:rsidR="00A9058B" w:rsidRDefault="00A9058B" w:rsidP="0013085F">
            <w:pPr>
              <w:pStyle w:val="BodytextRegular"/>
              <w:jc w:val="right"/>
              <w:cnfStyle w:val="000000000000" w:firstRow="0" w:lastRow="0" w:firstColumn="0" w:lastColumn="0" w:oddVBand="0" w:evenVBand="0" w:oddHBand="0" w:evenHBand="0" w:firstRowFirstColumn="0" w:firstRowLastColumn="0" w:lastRowFirstColumn="0" w:lastRowLastColumn="0"/>
            </w:pPr>
            <w:r>
              <w:t>2.5</w:t>
            </w:r>
          </w:p>
        </w:tc>
        <w:tc>
          <w:tcPr>
            <w:tcW w:w="1021" w:type="dxa"/>
          </w:tcPr>
          <w:p w14:paraId="4FF29E00" w14:textId="77777777" w:rsidR="00A9058B" w:rsidRDefault="00A9058B" w:rsidP="0013085F">
            <w:pPr>
              <w:pStyle w:val="BodytextRegular"/>
              <w:jc w:val="right"/>
              <w:cnfStyle w:val="000000000000" w:firstRow="0" w:lastRow="0" w:firstColumn="0" w:lastColumn="0" w:oddVBand="0" w:evenVBand="0" w:oddHBand="0" w:evenHBand="0" w:firstRowFirstColumn="0" w:firstRowLastColumn="0" w:lastRowFirstColumn="0" w:lastRowLastColumn="0"/>
            </w:pPr>
            <w:r>
              <w:t>3.0</w:t>
            </w:r>
          </w:p>
        </w:tc>
        <w:tc>
          <w:tcPr>
            <w:tcW w:w="1021" w:type="dxa"/>
          </w:tcPr>
          <w:p w14:paraId="29A44B3B" w14:textId="77777777" w:rsidR="00A9058B" w:rsidRDefault="00A9058B" w:rsidP="0013085F">
            <w:pPr>
              <w:pStyle w:val="BodytextRegular"/>
              <w:jc w:val="right"/>
              <w:cnfStyle w:val="000000000000" w:firstRow="0" w:lastRow="0" w:firstColumn="0" w:lastColumn="0" w:oddVBand="0" w:evenVBand="0" w:oddHBand="0" w:evenHBand="0" w:firstRowFirstColumn="0" w:firstRowLastColumn="0" w:lastRowFirstColumn="0" w:lastRowLastColumn="0"/>
            </w:pPr>
            <w:r>
              <w:t>3.1</w:t>
            </w:r>
          </w:p>
        </w:tc>
      </w:tr>
      <w:tr w:rsidR="00A9058B" w14:paraId="1A9FC9AD" w14:textId="77777777" w:rsidTr="00FB5608">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2835" w:type="dxa"/>
            <w:shd w:val="clear" w:color="auto" w:fill="FFFFFF" w:themeFill="background1"/>
          </w:tcPr>
          <w:p w14:paraId="19244711" w14:textId="77777777" w:rsidR="002947AF" w:rsidRPr="002947AF" w:rsidRDefault="00B83F85" w:rsidP="0013085F">
            <w:pPr>
              <w:pStyle w:val="BodytextRegular"/>
              <w:rPr>
                <w:sz w:val="19"/>
                <w:szCs w:val="22"/>
                <w:vertAlign w:val="superscript"/>
              </w:rPr>
            </w:pPr>
            <w:bookmarkStart w:id="3" w:name="_Hlk214628051"/>
            <w:r>
              <w:rPr>
                <w:szCs w:val="18"/>
              </w:rPr>
              <w:t>Benchmark</w:t>
            </w:r>
            <w:r w:rsidR="002947AF" w:rsidRPr="00B51BAC">
              <w:rPr>
                <w:szCs w:val="18"/>
                <w:vertAlign w:val="superscript"/>
              </w:rPr>
              <w:t>1</w:t>
            </w:r>
            <w:bookmarkEnd w:id="3"/>
          </w:p>
        </w:tc>
        <w:tc>
          <w:tcPr>
            <w:tcW w:w="1021" w:type="dxa"/>
          </w:tcPr>
          <w:p w14:paraId="1FC7119F" w14:textId="77777777" w:rsidR="00A9058B" w:rsidRDefault="00905816" w:rsidP="0013085F">
            <w:pPr>
              <w:pStyle w:val="BodytextRegular"/>
              <w:jc w:val="right"/>
              <w:cnfStyle w:val="000000100000" w:firstRow="0" w:lastRow="0" w:firstColumn="0" w:lastColumn="0" w:oddVBand="0" w:evenVBand="0" w:oddHBand="1" w:evenHBand="0" w:firstRowFirstColumn="0" w:firstRowLastColumn="0" w:lastRowFirstColumn="0" w:lastRowLastColumn="0"/>
            </w:pPr>
            <w:r>
              <w:t>0.8</w:t>
            </w:r>
          </w:p>
        </w:tc>
        <w:tc>
          <w:tcPr>
            <w:tcW w:w="1021" w:type="dxa"/>
          </w:tcPr>
          <w:p w14:paraId="32FBCE50" w14:textId="77777777" w:rsidR="00A9058B" w:rsidRDefault="00905816" w:rsidP="0013085F">
            <w:pPr>
              <w:pStyle w:val="BodytextRegular"/>
              <w:jc w:val="right"/>
              <w:cnfStyle w:val="000000100000" w:firstRow="0" w:lastRow="0" w:firstColumn="0" w:lastColumn="0" w:oddVBand="0" w:evenVBand="0" w:oddHBand="1" w:evenHBand="0" w:firstRowFirstColumn="0" w:firstRowLastColumn="0" w:lastRowFirstColumn="0" w:lastRowLastColumn="0"/>
            </w:pPr>
            <w:r>
              <w:t>-0.6</w:t>
            </w:r>
          </w:p>
        </w:tc>
        <w:tc>
          <w:tcPr>
            <w:tcW w:w="1021" w:type="dxa"/>
          </w:tcPr>
          <w:p w14:paraId="0126ACD5" w14:textId="77777777" w:rsidR="00A9058B" w:rsidRDefault="00905816" w:rsidP="0013085F">
            <w:pPr>
              <w:pStyle w:val="BodytextRegular"/>
              <w:jc w:val="right"/>
              <w:cnfStyle w:val="000000100000" w:firstRow="0" w:lastRow="0" w:firstColumn="0" w:lastColumn="0" w:oddVBand="0" w:evenVBand="0" w:oddHBand="1" w:evenHBand="0" w:firstRowFirstColumn="0" w:firstRowLastColumn="0" w:lastRowFirstColumn="0" w:lastRowLastColumn="0"/>
            </w:pPr>
            <w:r>
              <w:t>-0.0</w:t>
            </w:r>
          </w:p>
        </w:tc>
        <w:tc>
          <w:tcPr>
            <w:tcW w:w="1021" w:type="dxa"/>
          </w:tcPr>
          <w:p w14:paraId="43C10BB8" w14:textId="77777777" w:rsidR="00A9058B" w:rsidRDefault="00905816" w:rsidP="0013085F">
            <w:pPr>
              <w:pStyle w:val="BodytextRegular"/>
              <w:jc w:val="right"/>
              <w:cnfStyle w:val="000000100000" w:firstRow="0" w:lastRow="0" w:firstColumn="0" w:lastColumn="0" w:oddVBand="0" w:evenVBand="0" w:oddHBand="1" w:evenHBand="0" w:firstRowFirstColumn="0" w:firstRowLastColumn="0" w:lastRowFirstColumn="0" w:lastRowLastColumn="0"/>
            </w:pPr>
            <w:r>
              <w:t>2.2</w:t>
            </w:r>
          </w:p>
        </w:tc>
        <w:tc>
          <w:tcPr>
            <w:tcW w:w="1021" w:type="dxa"/>
          </w:tcPr>
          <w:p w14:paraId="5FEB6F5B" w14:textId="77777777" w:rsidR="00A9058B" w:rsidRDefault="00905816" w:rsidP="0013085F">
            <w:pPr>
              <w:pStyle w:val="BodytextRegular"/>
              <w:jc w:val="right"/>
              <w:cnfStyle w:val="000000100000" w:firstRow="0" w:lastRow="0" w:firstColumn="0" w:lastColumn="0" w:oddVBand="0" w:evenVBand="0" w:oddHBand="1" w:evenHBand="0" w:firstRowFirstColumn="0" w:firstRowLastColumn="0" w:lastRowFirstColumn="0" w:lastRowLastColumn="0"/>
            </w:pPr>
            <w:r>
              <w:t>4.8</w:t>
            </w:r>
          </w:p>
        </w:tc>
        <w:tc>
          <w:tcPr>
            <w:tcW w:w="1021" w:type="dxa"/>
          </w:tcPr>
          <w:p w14:paraId="661BCF5F" w14:textId="77777777" w:rsidR="00A9058B" w:rsidRDefault="00905816" w:rsidP="0013085F">
            <w:pPr>
              <w:pStyle w:val="BodytextRegular"/>
              <w:jc w:val="right"/>
              <w:cnfStyle w:val="000000100000" w:firstRow="0" w:lastRow="0" w:firstColumn="0" w:lastColumn="0" w:oddVBand="0" w:evenVBand="0" w:oddHBand="1" w:evenHBand="0" w:firstRowFirstColumn="0" w:firstRowLastColumn="0" w:lastRowFirstColumn="0" w:lastRowLastColumn="0"/>
            </w:pPr>
            <w:r>
              <w:t>3.0</w:t>
            </w:r>
          </w:p>
        </w:tc>
        <w:tc>
          <w:tcPr>
            <w:tcW w:w="1021" w:type="dxa"/>
          </w:tcPr>
          <w:p w14:paraId="53EF5D22" w14:textId="77777777" w:rsidR="00A9058B" w:rsidRDefault="00905816" w:rsidP="0013085F">
            <w:pPr>
              <w:pStyle w:val="BodytextRegular"/>
              <w:jc w:val="right"/>
              <w:cnfStyle w:val="000000100000" w:firstRow="0" w:lastRow="0" w:firstColumn="0" w:lastColumn="0" w:oddVBand="0" w:evenVBand="0" w:oddHBand="1" w:evenHBand="0" w:firstRowFirstColumn="0" w:firstRowLastColumn="0" w:lastRowFirstColumn="0" w:lastRowLastColumn="0"/>
            </w:pPr>
            <w:r>
              <w:t>1.3</w:t>
            </w:r>
          </w:p>
        </w:tc>
        <w:tc>
          <w:tcPr>
            <w:tcW w:w="1021" w:type="dxa"/>
          </w:tcPr>
          <w:p w14:paraId="20D4B13A" w14:textId="77777777" w:rsidR="00A9058B" w:rsidRDefault="00905816" w:rsidP="0013085F">
            <w:pPr>
              <w:pStyle w:val="BodytextRegular"/>
              <w:jc w:val="right"/>
              <w:cnfStyle w:val="000000100000" w:firstRow="0" w:lastRow="0" w:firstColumn="0" w:lastColumn="0" w:oddVBand="0" w:evenVBand="0" w:oddHBand="1" w:evenHBand="0" w:firstRowFirstColumn="0" w:firstRowLastColumn="0" w:lastRowFirstColumn="0" w:lastRowLastColumn="0"/>
            </w:pPr>
            <w:r>
              <w:t>1.3</w:t>
            </w:r>
          </w:p>
        </w:tc>
      </w:tr>
    </w:tbl>
    <w:p w14:paraId="7F08AFE2" w14:textId="77777777" w:rsidR="002E1BEB" w:rsidRDefault="002E1BEB" w:rsidP="00754699">
      <w:pPr>
        <w:pStyle w:val="Sourcetext"/>
        <w:spacing w:before="0"/>
        <w:rPr>
          <w:bCs/>
          <w:szCs w:val="18"/>
        </w:rPr>
      </w:pPr>
    </w:p>
    <w:p w14:paraId="0B508098" w14:textId="77777777" w:rsidR="00FC602F" w:rsidRPr="00EB5C01" w:rsidRDefault="00C20672" w:rsidP="00FC602F">
      <w:pPr>
        <w:pStyle w:val="Sourcetext"/>
        <w:rPr>
          <w:b/>
          <w:bCs/>
          <w:sz w:val="19"/>
          <w:szCs w:val="22"/>
        </w:rPr>
      </w:pPr>
      <w:bookmarkStart w:id="4" w:name="_Hlk208598477"/>
      <w:r w:rsidRPr="00F25AB6">
        <w:rPr>
          <w:szCs w:val="16"/>
        </w:rPr>
        <w:t>Source: Schroders, Morningstar, as of 30 April 2026. Performance shown is based on the currency of the share class shown and is net of fees. Please see factsheet for other share classes. The value of investments and the income from them may go down as well as up and investors may not get back the amount originally invested.</w:t>
      </w:r>
      <w:r>
        <w:rPr>
          <w:szCs w:val="16"/>
        </w:rPr>
        <w:t xml:space="preserve"> </w:t>
      </w:r>
      <w:r w:rsidRPr="00F25AB6">
        <w:rPr>
          <w:b/>
          <w:bCs/>
          <w:szCs w:val="16"/>
        </w:rPr>
        <w:t>Exchange rate changes may cause the value of investments to fall as well as rise.</w:t>
      </w:r>
      <w:r w:rsidRPr="00F25AB6">
        <w:rPr>
          <w:szCs w:val="16"/>
        </w:rPr>
        <w:t xml:space="preserve"> Performance data does not </w:t>
      </w:r>
      <w:proofErr w:type="gramStart"/>
      <w:r w:rsidRPr="00F25AB6">
        <w:rPr>
          <w:szCs w:val="16"/>
        </w:rPr>
        <w:t>take into account</w:t>
      </w:r>
      <w:proofErr w:type="gramEnd"/>
      <w:r w:rsidRPr="00F25AB6">
        <w:rPr>
          <w:szCs w:val="16"/>
        </w:rPr>
        <w:t xml:space="preserve"> any commissions and costs, if any, charged when units or shares of any fund, as applicable, are issued and redeeme</w:t>
      </w:r>
      <w:r w:rsidRPr="002061AF">
        <w:rPr>
          <w:szCs w:val="16"/>
        </w:rPr>
        <w:t>d</w:t>
      </w:r>
      <w:r w:rsidRPr="00826685">
        <w:rPr>
          <w:bCs/>
          <w:szCs w:val="16"/>
        </w:rPr>
        <w:t>.</w:t>
      </w:r>
      <w:bookmarkEnd w:id="4"/>
      <w:r w:rsidR="00856C33" w:rsidRPr="00EB5C01">
        <w:rPr>
          <w:b/>
          <w:bCs/>
        </w:rPr>
        <w:t xml:space="preserve"> </w:t>
      </w:r>
    </w:p>
    <w:p w14:paraId="2A61F4B4" w14:textId="77777777" w:rsidR="00253684" w:rsidRPr="00A7120C" w:rsidRDefault="00253684" w:rsidP="00A7120C">
      <w:pPr>
        <w:pStyle w:val="BodytextRegular"/>
        <w:spacing w:before="60" w:after="0" w:line="190" w:lineRule="exact"/>
        <w:rPr>
          <w:sz w:val="16"/>
          <w:szCs w:val="16"/>
        </w:rPr>
      </w:pPr>
      <w:r w:rsidRPr="00CF4D44">
        <w:rPr>
          <w:sz w:val="16"/>
          <w:szCs w:val="16"/>
          <w:vertAlign w:val="superscript"/>
        </w:rPr>
        <w:t>1</w:t>
      </w:r>
      <w:r>
        <w:rPr>
          <w:sz w:val="16"/>
          <w:szCs w:val="16"/>
        </w:rPr>
        <w:t>Benchmark</w:t>
      </w:r>
      <w:r w:rsidRPr="00CF4D44">
        <w:rPr>
          <w:sz w:val="16"/>
          <w:szCs w:val="16"/>
        </w:rPr>
        <w:t xml:space="preserve"> refers to </w:t>
      </w:r>
      <w:r>
        <w:rPr>
          <w:sz w:val="16"/>
          <w:szCs w:val="16"/>
        </w:rPr>
        <w:t>ICE BofA 1-5 Year BBB EURO Corporate Index.</w:t>
      </w:r>
    </w:p>
    <w:p w14:paraId="0AF55AAF" w14:textId="77777777" w:rsidR="002C423C" w:rsidRPr="00A23F93" w:rsidRDefault="002C423C" w:rsidP="00260CCF">
      <w:pPr>
        <w:pStyle w:val="Paragraphheaderprussiannavy"/>
        <w:tabs>
          <w:tab w:val="right" w:pos="10204"/>
        </w:tabs>
      </w:pPr>
      <w:r w:rsidRPr="00A23F93">
        <w:t>Investment O</w:t>
      </w:r>
      <w:r w:rsidR="00620414">
        <w:t>verview</w:t>
      </w:r>
      <w:r w:rsidR="00260CCF">
        <w:tab/>
      </w:r>
    </w:p>
    <w:p w14:paraId="01A4B562" w14:textId="77777777" w:rsidR="008C1D82" w:rsidRPr="00E70499" w:rsidRDefault="00FD5917" w:rsidP="00E70499">
      <w:pPr>
        <w:pStyle w:val="BodytextRegular"/>
      </w:pPr>
      <w:r>
        <w:t xml:space="preserve">The fund aims to provide income and capital growth </w:t>
      </w:r>
      <w:proofErr w:type="gramStart"/>
      <w:r>
        <w:t>in excess of</w:t>
      </w:r>
      <w:proofErr w:type="gramEnd"/>
      <w:r>
        <w:t xml:space="preserve"> the ICE BofA 1-5 Year BBB Euro Corporate total return index over a three to five year period after fees have been deducted by investing in bonds denominated in Euro issued by companies worldwide.</w:t>
      </w:r>
      <w:r w:rsidR="00073A5C">
        <w:t xml:space="preserve"> </w:t>
      </w:r>
    </w:p>
    <w:p w14:paraId="26CF20DB" w14:textId="77777777" w:rsidR="00626DB0" w:rsidRPr="00753011" w:rsidRDefault="002C423C" w:rsidP="00753011">
      <w:pPr>
        <w:pStyle w:val="Paragraphheaderprussiannavy"/>
        <w:tabs>
          <w:tab w:val="right" w:pos="10204"/>
        </w:tabs>
      </w:pPr>
      <w:r w:rsidRPr="00753011">
        <w:t>Risk considerations</w:t>
      </w:r>
    </w:p>
    <w:p w14:paraId="732C4A7F" w14:textId="77777777" w:rsidR="00794888" w:rsidRPr="00970DD6" w:rsidRDefault="00794888" w:rsidP="00794888">
      <w:pPr>
        <w:pStyle w:val="BodyText"/>
        <w:spacing w:after="60"/>
        <w:ind w:right="-1"/>
        <w:rPr>
          <w:b/>
          <w:bCs/>
          <w:sz w:val="18"/>
          <w:szCs w:val="18"/>
        </w:rPr>
      </w:pPr>
      <w:r w:rsidRPr="00970DD6">
        <w:rPr>
          <w:b/>
          <w:bCs/>
          <w:sz w:val="18"/>
          <w:szCs w:val="18"/>
        </w:rPr>
        <w:t>ABS and MBS risk:</w:t>
      </w:r>
      <w:r w:rsidRPr="00970DD6">
        <w:rPr>
          <w:sz w:val="18"/>
          <w:szCs w:val="18"/>
        </w:rPr>
        <w:t xml:space="preserve"> The fund may invest in mortgage or asset-backed securities. The underlying borrowers of these securities may not be able to pay back the full amount that they owe, which may result in losses to the fund.</w:t>
      </w:r>
    </w:p>
    <w:p w14:paraId="0532E6C9" w14:textId="77777777" w:rsidR="00794888" w:rsidRPr="00970DD6" w:rsidRDefault="00794888" w:rsidP="00794888">
      <w:pPr>
        <w:pStyle w:val="BodyText"/>
        <w:spacing w:after="60"/>
        <w:ind w:right="-1"/>
        <w:rPr>
          <w:b/>
          <w:bCs/>
          <w:sz w:val="18"/>
          <w:szCs w:val="18"/>
        </w:rPr>
      </w:pPr>
      <w:r w:rsidRPr="00970DD6">
        <w:rPr>
          <w:b/>
          <w:bCs/>
          <w:sz w:val="18"/>
          <w:szCs w:val="18"/>
        </w:rPr>
        <w:t>Capital risk / distribution policy:</w:t>
      </w:r>
      <w:r w:rsidRPr="00970DD6">
        <w:rPr>
          <w:sz w:val="18"/>
          <w:szCs w:val="18"/>
        </w:rPr>
        <w:t xml:space="preserve"> As the fund intends to pay dividends regardless of its performance, a dividend may represent a return of part of the amount you invested.</w:t>
      </w:r>
    </w:p>
    <w:p w14:paraId="0CCC5376" w14:textId="77777777" w:rsidR="00794888" w:rsidRPr="00970DD6" w:rsidRDefault="00794888" w:rsidP="00794888">
      <w:pPr>
        <w:pStyle w:val="BodyText"/>
        <w:spacing w:after="60"/>
        <w:ind w:right="-1"/>
        <w:rPr>
          <w:b/>
          <w:bCs/>
          <w:sz w:val="18"/>
          <w:szCs w:val="18"/>
        </w:rPr>
      </w:pPr>
      <w:r w:rsidRPr="00970DD6">
        <w:rPr>
          <w:b/>
          <w:bCs/>
          <w:sz w:val="18"/>
          <w:szCs w:val="18"/>
        </w:rPr>
        <w:t>Contingent convertible bonds:</w:t>
      </w:r>
      <w:r w:rsidRPr="00970DD6">
        <w:rPr>
          <w:sz w:val="18"/>
          <w:szCs w:val="18"/>
        </w:rPr>
        <w:t xml:space="preserve"> The fund may invest in contingent convertible bonds which are bonds that convert to shares if the bond issuer's financial health deteriorates. A reduction in the financial strength of the issuer may result in losses to the fund.</w:t>
      </w:r>
    </w:p>
    <w:p w14:paraId="15AA9050" w14:textId="77777777" w:rsidR="00794888" w:rsidRPr="00970DD6" w:rsidRDefault="00794888" w:rsidP="00794888">
      <w:pPr>
        <w:pStyle w:val="BodyText"/>
        <w:spacing w:after="60"/>
        <w:ind w:right="-1"/>
        <w:rPr>
          <w:b/>
          <w:bCs/>
          <w:sz w:val="18"/>
          <w:szCs w:val="18"/>
        </w:rPr>
      </w:pPr>
      <w:r w:rsidRPr="00970DD6">
        <w:rPr>
          <w:b/>
          <w:bCs/>
          <w:sz w:val="18"/>
          <w:szCs w:val="18"/>
        </w:rPr>
        <w:t>Counterparty risk:</w:t>
      </w:r>
      <w:r w:rsidRPr="00970DD6">
        <w:rPr>
          <w:sz w:val="18"/>
          <w:szCs w:val="18"/>
        </w:rPr>
        <w:t xml:space="preserve"> The fund may have contractual agreements with counterparties. If a counterparty is unable to fulfil their obligations, the sum that they owe to the fund may be lost in part or in whole.</w:t>
      </w:r>
    </w:p>
    <w:p w14:paraId="4B6F1A9D" w14:textId="77777777" w:rsidR="00794888" w:rsidRPr="00970DD6" w:rsidRDefault="00794888" w:rsidP="00794888">
      <w:pPr>
        <w:pStyle w:val="BodyText"/>
        <w:spacing w:after="60"/>
        <w:ind w:right="-1"/>
        <w:rPr>
          <w:b/>
          <w:bCs/>
          <w:sz w:val="18"/>
          <w:szCs w:val="18"/>
        </w:rPr>
      </w:pPr>
      <w:r w:rsidRPr="00970DD6">
        <w:rPr>
          <w:b/>
          <w:bCs/>
          <w:sz w:val="18"/>
          <w:szCs w:val="18"/>
        </w:rPr>
        <w:t>Credit risk:</w:t>
      </w:r>
      <w:r w:rsidRPr="00970DD6">
        <w:rPr>
          <w:sz w:val="18"/>
          <w:szCs w:val="18"/>
        </w:rPr>
        <w:t xml:space="preserve"> If a borrower of debt provided by the fund or a bond issuer experiences a decline in financial health, their ability to make payments of interest and principal may be affected, which may cause a decline in the value of the fund.</w:t>
      </w:r>
    </w:p>
    <w:p w14:paraId="005CD2CE" w14:textId="77777777" w:rsidR="00794888" w:rsidRPr="00970DD6" w:rsidRDefault="00794888" w:rsidP="00794888">
      <w:pPr>
        <w:pStyle w:val="BodyText"/>
        <w:spacing w:after="60"/>
        <w:ind w:right="-1"/>
        <w:rPr>
          <w:b/>
          <w:bCs/>
          <w:sz w:val="18"/>
          <w:szCs w:val="18"/>
        </w:rPr>
      </w:pPr>
      <w:r w:rsidRPr="00970DD6">
        <w:rPr>
          <w:b/>
          <w:bCs/>
          <w:sz w:val="18"/>
          <w:szCs w:val="18"/>
        </w:rPr>
        <w:t>Currency risk:</w:t>
      </w:r>
      <w:r w:rsidRPr="00970DD6">
        <w:rPr>
          <w:sz w:val="18"/>
          <w:szCs w:val="18"/>
        </w:rPr>
        <w:t xml:space="preserve"> If the fund’s investments are denominated in currencies different to the fund’s base currency, the fund may lose value </w:t>
      </w:r>
      <w:proofErr w:type="gramStart"/>
      <w:r w:rsidRPr="00970DD6">
        <w:rPr>
          <w:sz w:val="18"/>
          <w:szCs w:val="18"/>
        </w:rPr>
        <w:t>as a result of</w:t>
      </w:r>
      <w:proofErr w:type="gramEnd"/>
      <w:r w:rsidRPr="00970DD6">
        <w:rPr>
          <w:sz w:val="18"/>
          <w:szCs w:val="18"/>
        </w:rPr>
        <w:t xml:space="preserve"> movements in foreign exchange rates, otherwise known as currency rates. If the investor holds a share class in a different currency to the base currency of the fund, investors may be exposed to losses </w:t>
      </w:r>
      <w:proofErr w:type="gramStart"/>
      <w:r w:rsidRPr="00970DD6">
        <w:rPr>
          <w:sz w:val="18"/>
          <w:szCs w:val="18"/>
        </w:rPr>
        <w:t>as a result of</w:t>
      </w:r>
      <w:proofErr w:type="gramEnd"/>
      <w:r w:rsidRPr="00970DD6">
        <w:rPr>
          <w:sz w:val="18"/>
          <w:szCs w:val="18"/>
        </w:rPr>
        <w:t xml:space="preserve"> movements in currency rates.</w:t>
      </w:r>
    </w:p>
    <w:p w14:paraId="040FCD2E" w14:textId="77777777" w:rsidR="00794888" w:rsidRPr="00970DD6" w:rsidRDefault="00794888" w:rsidP="00794888">
      <w:pPr>
        <w:pStyle w:val="BodyText"/>
        <w:spacing w:after="60"/>
        <w:ind w:right="-1"/>
        <w:rPr>
          <w:b/>
          <w:bCs/>
          <w:sz w:val="18"/>
          <w:szCs w:val="18"/>
        </w:rPr>
      </w:pPr>
      <w:r w:rsidRPr="00970DD6">
        <w:rPr>
          <w:b/>
          <w:bCs/>
          <w:sz w:val="18"/>
          <w:szCs w:val="18"/>
        </w:rPr>
        <w:lastRenderedPageBreak/>
        <w:t>Currency risk / hedged share class:</w:t>
      </w:r>
      <w:r w:rsidRPr="00970DD6">
        <w:rPr>
          <w:sz w:val="18"/>
          <w:szCs w:val="18"/>
        </w:rPr>
        <w:t xml:space="preserve"> The currency hedging of the share class may not be fully </w:t>
      </w:r>
      <w:proofErr w:type="gramStart"/>
      <w:r w:rsidRPr="00970DD6">
        <w:rPr>
          <w:sz w:val="18"/>
          <w:szCs w:val="18"/>
        </w:rPr>
        <w:t>effective</w:t>
      </w:r>
      <w:proofErr w:type="gramEnd"/>
      <w:r w:rsidRPr="00970DD6">
        <w:rPr>
          <w:sz w:val="18"/>
          <w:szCs w:val="18"/>
        </w:rPr>
        <w:t xml:space="preserve"> and residual currency exposure may remain. The cost associated with hedging may impact performance and potential gains may be more limited than for unhedged share classes.</w:t>
      </w:r>
    </w:p>
    <w:p w14:paraId="6D3F14DB" w14:textId="77777777" w:rsidR="00794888" w:rsidRPr="00970DD6" w:rsidRDefault="00794888" w:rsidP="00794888">
      <w:pPr>
        <w:pStyle w:val="BodyText"/>
        <w:spacing w:after="60"/>
        <w:ind w:right="-1"/>
        <w:rPr>
          <w:b/>
          <w:bCs/>
          <w:sz w:val="18"/>
          <w:szCs w:val="18"/>
        </w:rPr>
      </w:pPr>
      <w:r w:rsidRPr="00970DD6">
        <w:rPr>
          <w:b/>
          <w:bCs/>
          <w:sz w:val="18"/>
          <w:szCs w:val="18"/>
        </w:rPr>
        <w:t>Derivatives risk:</w:t>
      </w:r>
      <w:r w:rsidRPr="00970DD6">
        <w:rPr>
          <w:sz w:val="18"/>
          <w:szCs w:val="18"/>
        </w:rPr>
        <w:t xml:space="preserve"> Derivatives, which are financial instruments deriving their value from an underlying asset, may be used for investment purposes and/ or to manage the portfolio efficiently. A derivative may not perform as expected, may create losses greater than the cost of the derivative and may result in losses to the fund.</w:t>
      </w:r>
    </w:p>
    <w:p w14:paraId="28101825" w14:textId="77777777" w:rsidR="00794888" w:rsidRPr="00970DD6" w:rsidRDefault="00794888" w:rsidP="00794888">
      <w:pPr>
        <w:pStyle w:val="BodyText"/>
        <w:spacing w:after="60"/>
        <w:ind w:right="-1"/>
        <w:rPr>
          <w:b/>
          <w:bCs/>
          <w:sz w:val="18"/>
          <w:szCs w:val="18"/>
        </w:rPr>
      </w:pPr>
      <w:r w:rsidRPr="00970DD6">
        <w:rPr>
          <w:b/>
          <w:bCs/>
          <w:sz w:val="18"/>
          <w:szCs w:val="18"/>
        </w:rPr>
        <w:t>Emerging markets &amp; frontier risk:</w:t>
      </w:r>
      <w:r w:rsidRPr="00970DD6">
        <w:rPr>
          <w:sz w:val="18"/>
          <w:szCs w:val="18"/>
        </w:rPr>
        <w:t xml:space="preserve"> Emerging markets, and especially frontier markets, generally carry greater political, legal, counterparty, operational and liquidity risk than developed markets.</w:t>
      </w:r>
    </w:p>
    <w:p w14:paraId="0C7B1D6F" w14:textId="77777777" w:rsidR="00794888" w:rsidRPr="00970DD6" w:rsidRDefault="00794888" w:rsidP="00794888">
      <w:pPr>
        <w:pStyle w:val="BodyText"/>
        <w:spacing w:after="60"/>
        <w:ind w:right="-1"/>
        <w:rPr>
          <w:b/>
          <w:bCs/>
          <w:sz w:val="18"/>
          <w:szCs w:val="18"/>
        </w:rPr>
      </w:pPr>
      <w:r w:rsidRPr="00970DD6">
        <w:rPr>
          <w:b/>
          <w:bCs/>
          <w:sz w:val="18"/>
          <w:szCs w:val="18"/>
        </w:rPr>
        <w:t>High yield bond risk:</w:t>
      </w:r>
      <w:r w:rsidRPr="00970DD6">
        <w:rPr>
          <w:sz w:val="18"/>
          <w:szCs w:val="18"/>
        </w:rPr>
        <w:t xml:space="preserve"> High yield bonds (normally lower rated or unrated) generally carry greater market, credit and liquidity risk meaning greater uncertainty of returns.</w:t>
      </w:r>
    </w:p>
    <w:p w14:paraId="6A24E491" w14:textId="77777777" w:rsidR="00794888" w:rsidRPr="00970DD6" w:rsidRDefault="00794888" w:rsidP="00794888">
      <w:pPr>
        <w:pStyle w:val="BodyText"/>
        <w:spacing w:after="60"/>
        <w:ind w:right="-1"/>
        <w:rPr>
          <w:b/>
          <w:bCs/>
          <w:sz w:val="18"/>
          <w:szCs w:val="18"/>
        </w:rPr>
      </w:pPr>
      <w:r w:rsidRPr="00970DD6">
        <w:rPr>
          <w:b/>
          <w:bCs/>
          <w:sz w:val="18"/>
          <w:szCs w:val="18"/>
        </w:rPr>
        <w:t>Interest rate risk:</w:t>
      </w:r>
      <w:r w:rsidRPr="00970DD6">
        <w:rPr>
          <w:sz w:val="18"/>
          <w:szCs w:val="18"/>
        </w:rPr>
        <w:t xml:space="preserve"> The fund may lose value as a direct result of interest rate changes.</w:t>
      </w:r>
    </w:p>
    <w:p w14:paraId="24618630" w14:textId="77777777" w:rsidR="00794888" w:rsidRPr="00970DD6" w:rsidRDefault="00794888" w:rsidP="00794888">
      <w:pPr>
        <w:pStyle w:val="BodyText"/>
        <w:spacing w:after="60"/>
        <w:ind w:right="-1"/>
        <w:rPr>
          <w:b/>
          <w:bCs/>
          <w:sz w:val="18"/>
          <w:szCs w:val="18"/>
        </w:rPr>
      </w:pPr>
      <w:r w:rsidRPr="00970DD6">
        <w:rPr>
          <w:b/>
          <w:bCs/>
          <w:sz w:val="18"/>
          <w:szCs w:val="18"/>
        </w:rPr>
        <w:t>Liquidity risk:</w:t>
      </w:r>
      <w:r w:rsidRPr="00970DD6">
        <w:rPr>
          <w:sz w:val="18"/>
          <w:szCs w:val="18"/>
        </w:rPr>
        <w:t xml:space="preserve"> In difficult market conditions, the fund may not be able to sell a security for full value or at all. This could affect performance and could cause the fund to defer or suspend redemptions of its shares, meaning investors may not be able to have immediate access to their holdings.</w:t>
      </w:r>
    </w:p>
    <w:p w14:paraId="4C65AE69" w14:textId="77777777" w:rsidR="00794888" w:rsidRPr="00970DD6" w:rsidRDefault="00794888" w:rsidP="00794888">
      <w:pPr>
        <w:pStyle w:val="BodyText"/>
        <w:spacing w:after="60"/>
        <w:ind w:right="-1"/>
        <w:rPr>
          <w:b/>
          <w:bCs/>
          <w:sz w:val="18"/>
          <w:szCs w:val="18"/>
        </w:rPr>
      </w:pPr>
      <w:r w:rsidRPr="00970DD6">
        <w:rPr>
          <w:b/>
          <w:bCs/>
          <w:sz w:val="18"/>
          <w:szCs w:val="18"/>
        </w:rPr>
        <w:t>Market risk:</w:t>
      </w:r>
      <w:r w:rsidRPr="00970DD6">
        <w:rPr>
          <w:sz w:val="18"/>
          <w:szCs w:val="18"/>
        </w:rPr>
        <w:t xml:space="preserve"> The value of investments can go up and down and an investor may not get back the amount initially invested.</w:t>
      </w:r>
    </w:p>
    <w:p w14:paraId="73E0DD37" w14:textId="77777777" w:rsidR="00794888" w:rsidRPr="00970DD6" w:rsidRDefault="00794888" w:rsidP="00794888">
      <w:pPr>
        <w:pStyle w:val="BodyText"/>
        <w:spacing w:after="60"/>
        <w:ind w:right="-1"/>
        <w:rPr>
          <w:b/>
          <w:bCs/>
          <w:sz w:val="18"/>
          <w:szCs w:val="18"/>
        </w:rPr>
      </w:pPr>
      <w:r w:rsidRPr="00970DD6">
        <w:rPr>
          <w:b/>
          <w:bCs/>
          <w:sz w:val="18"/>
          <w:szCs w:val="18"/>
        </w:rPr>
        <w:t>Operational risk:</w:t>
      </w:r>
      <w:r w:rsidRPr="00970DD6">
        <w:rPr>
          <w:sz w:val="18"/>
          <w:szCs w:val="18"/>
        </w:rPr>
        <w:t xml:space="preserve"> Operational processes, including those related to the safekeeping of assets, may fail.  This may result in losses to the fund.</w:t>
      </w:r>
    </w:p>
    <w:p w14:paraId="1493767A" w14:textId="77777777" w:rsidR="00794888" w:rsidRPr="00970DD6" w:rsidRDefault="00794888" w:rsidP="00794888">
      <w:pPr>
        <w:pStyle w:val="BodyText"/>
        <w:spacing w:after="60"/>
        <w:ind w:right="-1"/>
        <w:rPr>
          <w:b/>
          <w:bCs/>
          <w:sz w:val="18"/>
          <w:szCs w:val="18"/>
        </w:rPr>
      </w:pPr>
      <w:r w:rsidRPr="00970DD6">
        <w:rPr>
          <w:b/>
          <w:bCs/>
          <w:sz w:val="18"/>
          <w:szCs w:val="18"/>
        </w:rPr>
        <w:t>Performance risk:</w:t>
      </w:r>
      <w:r w:rsidRPr="00970DD6">
        <w:rPr>
          <w:sz w:val="18"/>
          <w:szCs w:val="18"/>
        </w:rPr>
        <w:t xml:space="preserve"> Investment objectives express an intended result but there is no guarantee that such a result will be achieved. Depending on market conditions and the macro economic environment, investment objectives may become more difficult to achieve.</w:t>
      </w:r>
    </w:p>
    <w:p w14:paraId="7834E495" w14:textId="77777777" w:rsidR="00794888" w:rsidRPr="00970DD6" w:rsidRDefault="00794888" w:rsidP="00794888">
      <w:pPr>
        <w:pStyle w:val="BodyText"/>
        <w:spacing w:after="60"/>
        <w:ind w:right="-1"/>
        <w:rPr>
          <w:b/>
          <w:bCs/>
          <w:sz w:val="18"/>
          <w:szCs w:val="18"/>
        </w:rPr>
      </w:pPr>
      <w:r w:rsidRPr="00970DD6">
        <w:rPr>
          <w:b/>
          <w:bCs/>
          <w:sz w:val="18"/>
          <w:szCs w:val="18"/>
        </w:rPr>
        <w:t>Sustainability risk:</w:t>
      </w:r>
      <w:r w:rsidRPr="00970DD6">
        <w:rPr>
          <w:sz w:val="18"/>
          <w:szCs w:val="18"/>
        </w:rPr>
        <w:t xml:space="preserve"> The fund has environmental and/or social characteristics. This means it may have limited exposure to some companies, industries or sectors and may forego certain investment opportunities, or dispose of certain holdings, that do not align with its sustainability criteria chosen by the investment manager. The fund may invest in companies that do not reflect the beliefs and values of any </w:t>
      </w:r>
      <w:proofErr w:type="gramStart"/>
      <w:r w:rsidRPr="00970DD6">
        <w:rPr>
          <w:sz w:val="18"/>
          <w:szCs w:val="18"/>
        </w:rPr>
        <w:t>particular investor</w:t>
      </w:r>
      <w:proofErr w:type="gramEnd"/>
      <w:r w:rsidRPr="00970DD6">
        <w:rPr>
          <w:sz w:val="18"/>
          <w:szCs w:val="18"/>
        </w:rPr>
        <w:t>.</w:t>
      </w:r>
    </w:p>
    <w:p w14:paraId="20322629" w14:textId="77777777" w:rsidR="00953023" w:rsidRDefault="00953023" w:rsidP="001A0473">
      <w:pPr>
        <w:pStyle w:val="Disclaimertext"/>
        <w:pageBreakBefore/>
        <w:spacing w:before="59" w:line="240" w:lineRule="auto"/>
        <w:rPr>
          <w:b/>
          <w:bCs/>
        </w:rPr>
      </w:pPr>
      <w:r w:rsidRPr="00194907">
        <w:rPr>
          <w:b/>
          <w:bCs/>
        </w:rPr>
        <w:lastRenderedPageBreak/>
        <w:t>Important information</w:t>
      </w:r>
    </w:p>
    <w:p w14:paraId="3EEEBA74" w14:textId="77777777" w:rsidR="00253684" w:rsidRPr="00415F34" w:rsidRDefault="00253684" w:rsidP="00415F34">
      <w:pPr>
        <w:pStyle w:val="Disclaimertext"/>
        <w:spacing w:before="59" w:line="240" w:lineRule="auto"/>
        <w:rPr>
          <w:rFonts w:eastAsiaTheme="minorHAnsi" w:cstheme="minorBidi"/>
          <w:b/>
          <w:bCs/>
          <w:sz w:val="19"/>
          <w:szCs w:val="22"/>
        </w:rPr>
      </w:pPr>
      <w:r w:rsidRPr="00E267E0">
        <w:rPr>
          <w:b/>
          <w:bCs/>
        </w:rPr>
        <w:t>For EEA and UK:</w:t>
      </w:r>
      <w:r>
        <w:rPr>
          <w:b/>
          <w:bCs/>
        </w:rPr>
        <w:t xml:space="preserve"> </w:t>
      </w:r>
      <w:r w:rsidRPr="000155C2">
        <w:rPr>
          <w:b/>
          <w:bCs/>
        </w:rPr>
        <w:t>Marketing material for Professional Clients only</w:t>
      </w:r>
      <w:r>
        <w:rPr>
          <w:b/>
          <w:bCs/>
        </w:rPr>
        <w:t>.</w:t>
      </w:r>
    </w:p>
    <w:p w14:paraId="6773B986" w14:textId="77777777" w:rsidR="00113154" w:rsidRPr="00113154" w:rsidRDefault="00953023" w:rsidP="00113154">
      <w:pPr>
        <w:pStyle w:val="Disclaimertext"/>
        <w:spacing w:before="59" w:line="240" w:lineRule="auto"/>
      </w:pPr>
      <w:r>
        <w:t>Nothing in this document should be construed as advice and is therefore not a recommendation to buy or sell shares. An investment in Schroder International Selection Fund (the "Company") entails risks, which are fully described in the prospectus.</w:t>
      </w:r>
    </w:p>
    <w:p w14:paraId="5DA12B29" w14:textId="77777777" w:rsidR="00113154" w:rsidRPr="00113154" w:rsidRDefault="00953023" w:rsidP="00113154">
      <w:pPr>
        <w:pStyle w:val="Disclaimertext"/>
        <w:spacing w:before="59" w:line="240" w:lineRule="auto"/>
      </w:pPr>
      <w:r>
        <w:t xml:space="preserve">Subscriptions for shares of the Company can only be made </w:t>
      </w:r>
      <w:proofErr w:type="gramStart"/>
      <w:r>
        <w:t>on the basis of</w:t>
      </w:r>
      <w:proofErr w:type="gramEnd"/>
      <w:r>
        <w:t xml:space="preserve"> its latest Key Information Document (the “KID”) and prospectus, together with the latest audited annual report (and subsequent unaudited semi-annual report, if published), copies of which can be obtained, free of charge, from Schroder Investment Management (Europe) S.A. An investment concerns the acquisition of shares in the Company, and not the underlying assets.</w:t>
      </w:r>
    </w:p>
    <w:p w14:paraId="0B01A9CD" w14:textId="77777777" w:rsidR="00EB7D61" w:rsidRPr="00113154" w:rsidRDefault="00EB7D61" w:rsidP="00EB7D61">
      <w:pPr>
        <w:pStyle w:val="BodyText"/>
        <w:spacing w:before="59" w:after="0"/>
        <w:ind w:right="266"/>
        <w:rPr>
          <w:rFonts w:eastAsia="Times New Roman" w:cs="Arial"/>
          <w:sz w:val="16"/>
          <w:szCs w:val="17"/>
        </w:rPr>
      </w:pPr>
      <w:r w:rsidRPr="00113154">
        <w:rPr>
          <w:rFonts w:eastAsia="Times New Roman" w:cs="Arial"/>
          <w:sz w:val="16"/>
          <w:szCs w:val="17"/>
        </w:rPr>
        <w:t xml:space="preserve">The Company is a Luxembourg-based Société </w:t>
      </w:r>
      <w:proofErr w:type="spellStart"/>
      <w:r w:rsidRPr="00113154">
        <w:rPr>
          <w:rFonts w:eastAsia="Times New Roman" w:cs="Arial"/>
          <w:sz w:val="16"/>
          <w:szCs w:val="17"/>
        </w:rPr>
        <w:t>d'Investissement</w:t>
      </w:r>
      <w:proofErr w:type="spellEnd"/>
      <w:r w:rsidRPr="00113154">
        <w:rPr>
          <w:rFonts w:eastAsia="Times New Roman" w:cs="Arial"/>
          <w:sz w:val="16"/>
          <w:szCs w:val="17"/>
        </w:rPr>
        <w:t xml:space="preserve"> à Capital Variable (SICAV), established for an unlimited period and coordinated </w:t>
      </w:r>
      <w:proofErr w:type="gramStart"/>
      <w:r w:rsidRPr="00113154">
        <w:rPr>
          <w:rFonts w:eastAsia="Times New Roman" w:cs="Arial"/>
          <w:sz w:val="16"/>
          <w:szCs w:val="17"/>
        </w:rPr>
        <w:t>with regard to</w:t>
      </w:r>
      <w:proofErr w:type="gramEnd"/>
      <w:r w:rsidRPr="00113154">
        <w:rPr>
          <w:rFonts w:eastAsia="Times New Roman" w:cs="Arial"/>
          <w:sz w:val="16"/>
          <w:szCs w:val="17"/>
        </w:rPr>
        <w:t xml:space="preserve"> the European regulations and meets the criteria for Undertakings for Collective Investment in Transferable Securities (UCITS).</w:t>
      </w:r>
    </w:p>
    <w:p w14:paraId="59DBD225" w14:textId="77777777" w:rsidR="00EB7D61" w:rsidRPr="00EB7D61" w:rsidRDefault="00EB7D61" w:rsidP="00113154">
      <w:pPr>
        <w:pStyle w:val="BodyText"/>
        <w:spacing w:before="59" w:after="0"/>
        <w:ind w:right="266"/>
        <w:rPr>
          <w:rFonts w:eastAsia="Times New Roman" w:cs="Arial"/>
          <w:sz w:val="16"/>
          <w:szCs w:val="17"/>
        </w:rPr>
      </w:pPr>
      <w:r w:rsidRPr="00113154">
        <w:rPr>
          <w:rFonts w:eastAsia="Times New Roman" w:cs="Arial"/>
          <w:sz w:val="16"/>
          <w:szCs w:val="17"/>
        </w:rPr>
        <w:t xml:space="preserve">The KIIDs are available in Bulgarian, Czech, Danish, Dutch, English, French, Finnish, German, Greek, Hungarian, Icelandic, Latvian, Lithuanian, Norwegian, Polish, Portuguese, Romanian, Slovakian, Spanish and Swedish, and the prospectus are available in English, Flemish, French, German, Spanish, free of charge at www.eifs.lu/schroders. The availability of KIIDs in the </w:t>
      </w:r>
      <w:proofErr w:type="gramStart"/>
      <w:r w:rsidRPr="00113154">
        <w:rPr>
          <w:rFonts w:eastAsia="Times New Roman" w:cs="Arial"/>
          <w:sz w:val="16"/>
          <w:szCs w:val="17"/>
        </w:rPr>
        <w:t>aforementioned languages</w:t>
      </w:r>
      <w:proofErr w:type="gramEnd"/>
      <w:r w:rsidRPr="00113154">
        <w:rPr>
          <w:rFonts w:eastAsia="Times New Roman" w:cs="Arial"/>
          <w:sz w:val="16"/>
          <w:szCs w:val="17"/>
        </w:rPr>
        <w:t xml:space="preserve"> is subject to the registration of the fund in the respective jurisdiction.</w:t>
      </w:r>
    </w:p>
    <w:p w14:paraId="6119C9E1" w14:textId="77777777" w:rsidR="00A5681A" w:rsidRPr="00A5681A" w:rsidRDefault="00A5681A" w:rsidP="00113154">
      <w:pPr>
        <w:pStyle w:val="BodyText"/>
        <w:spacing w:before="59" w:after="0"/>
        <w:ind w:right="266"/>
        <w:rPr>
          <w:sz w:val="16"/>
          <w:szCs w:val="16"/>
        </w:rPr>
      </w:pPr>
      <w:r w:rsidRPr="00953023">
        <w:rPr>
          <w:b/>
          <w:sz w:val="16"/>
          <w:szCs w:val="16"/>
        </w:rPr>
        <w:t xml:space="preserve">For Middle East, </w:t>
      </w:r>
      <w:proofErr w:type="gramStart"/>
      <w:r w:rsidRPr="00953023">
        <w:rPr>
          <w:bCs/>
          <w:sz w:val="16"/>
          <w:szCs w:val="16"/>
        </w:rPr>
        <w:t>This</w:t>
      </w:r>
      <w:proofErr w:type="gramEnd"/>
      <w:r w:rsidRPr="00953023">
        <w:rPr>
          <w:bCs/>
          <w:sz w:val="16"/>
          <w:szCs w:val="16"/>
        </w:rPr>
        <w:t xml:space="preserve"> document is intended only for professional investors who may receive it in compliance with applicable laws and regulations. This document is not intended for any professional investors in any jurisdiction where it is not permitted in accordance with applicable laws or regulations. Professional investors are as defined by laws and regulations applicable in each jurisdiction and may be defined as sophisticated investors. This document is not intended to be a financial promotion. Distributed by Schroder Investment Management Limited, located in Office 506, Level 5, Precinct Building 5, Dubai International Financial Centre, PO Box 506612 Dubai, United Arab Emirates. Regulated by the Dubai Financial Services Authority. This document is not subject to any form of approval by the DFSA. Accordingly, the DFSA has not approved any associated documents nor taken any steps to verify the information and has no responsibility for it.</w:t>
      </w:r>
    </w:p>
    <w:p w14:paraId="3562A0EB" w14:textId="77777777" w:rsidR="00AE2251" w:rsidRPr="00953023" w:rsidRDefault="00B73084" w:rsidP="001A0473">
      <w:pPr>
        <w:pStyle w:val="BodyText"/>
        <w:spacing w:before="59" w:after="0"/>
        <w:ind w:right="266"/>
        <w:rPr>
          <w:sz w:val="16"/>
          <w:szCs w:val="16"/>
        </w:rPr>
      </w:pPr>
      <w:r w:rsidRPr="00953023">
        <w:rPr>
          <w:b/>
          <w:sz w:val="16"/>
          <w:szCs w:val="16"/>
        </w:rPr>
        <w:t xml:space="preserve">For United Arab Emirates, </w:t>
      </w:r>
      <w:proofErr w:type="gramStart"/>
      <w:r w:rsidRPr="00953023">
        <w:rPr>
          <w:bCs/>
          <w:sz w:val="16"/>
          <w:szCs w:val="16"/>
        </w:rPr>
        <w:t>This</w:t>
      </w:r>
      <w:proofErr w:type="gramEnd"/>
      <w:r w:rsidRPr="00953023">
        <w:rPr>
          <w:bCs/>
          <w:sz w:val="16"/>
          <w:szCs w:val="16"/>
        </w:rPr>
        <w:t xml:space="preserve"> document, and the information contained herein, does not constitute, and is not intended to constitute, a public offer of securities to the retail investors in the UAE and accordingly should not be construed as such. No regulatory authority in the UAE has any responsibility for reviewing or verifying this prospectus or any other documents in connection with the promotion of this fund. Accordingly, no regulatory authority in the UAE has approved the prospectus or any other associated documents, nor taken any steps to verify the information set out herein, and therefore no regulatory authority in the UAE has any responsibility for the same. The interests in the fund(s) (“Interests”) mentioned in the document may be illiquid and/or subject to restrictions on their resale. Prospective purchasers should conduct their own due diligence on the Interests. Anyone not understanding the contents of this document should consult an authorised financial adviser. Distributed by Schroder Investment Management Limited (Dubai Branch), located on Level 5, Office 506, Precinct Building 5, Dubai International Financial Centre, PO Box 506612, Dubai, United Arab Emirates and regulated by the Dubai Financial Services Authority (DFSA) and entered on the DFSA register under Firm Reference Number: F000513. This document is not subject to any form of regulation or approval by the DFSA. The DFSA has no responsibility for reviewing or verifying any document in connection with the contents.</w:t>
      </w:r>
    </w:p>
    <w:p w14:paraId="23C42B98" w14:textId="77777777" w:rsidR="00AE2251" w:rsidRPr="00953023" w:rsidRDefault="00B73084" w:rsidP="001A0473">
      <w:pPr>
        <w:pStyle w:val="BodyText"/>
        <w:spacing w:before="59" w:after="0"/>
        <w:ind w:right="266"/>
        <w:rPr>
          <w:sz w:val="16"/>
          <w:szCs w:val="16"/>
        </w:rPr>
      </w:pPr>
      <w:r w:rsidRPr="00953023">
        <w:rPr>
          <w:b/>
          <w:sz w:val="16"/>
          <w:szCs w:val="16"/>
        </w:rPr>
        <w:t xml:space="preserve">For Switzerland, </w:t>
      </w:r>
      <w:r w:rsidRPr="00953023">
        <w:rPr>
          <w:bCs/>
          <w:sz w:val="16"/>
          <w:szCs w:val="16"/>
        </w:rPr>
        <w:t>Marketing material for Qualified Investors and Professional Clients Only. Schroder Investment Management (Switzerland) AG is the Swiss representative (Swiss Representative) and Schroder &amp; Co Bank AG is the paying agent in Switzerland of the Luxembourg domiciled Schroder International Selection Fund. The prospectus for Switzerland, the key information documents, the articles of association and the annual and semi-annual reports may be obtained free of charge from the Swiss Representative.</w:t>
      </w:r>
    </w:p>
    <w:p w14:paraId="37C91FFD" w14:textId="77777777" w:rsidR="00AE2251" w:rsidRPr="00953023" w:rsidRDefault="00B73084" w:rsidP="001A0473">
      <w:pPr>
        <w:pStyle w:val="BodyText"/>
        <w:spacing w:before="59" w:after="0"/>
        <w:ind w:right="266"/>
        <w:rPr>
          <w:sz w:val="16"/>
          <w:szCs w:val="16"/>
        </w:rPr>
      </w:pPr>
      <w:r w:rsidRPr="00953023">
        <w:rPr>
          <w:b/>
          <w:sz w:val="16"/>
          <w:szCs w:val="16"/>
        </w:rPr>
        <w:t xml:space="preserve">For Spain, </w:t>
      </w:r>
      <w:r w:rsidRPr="00953023">
        <w:rPr>
          <w:bCs/>
          <w:sz w:val="16"/>
          <w:szCs w:val="16"/>
        </w:rPr>
        <w:t xml:space="preserve">The Company is registered in the Administrative Register of Foreign Collective Investment Institutions marketed in Spain of the National Securities Market Commission (CNMV), with the number 135. Its depository is J.P. Morgan </w:t>
      </w:r>
      <w:proofErr w:type="gramStart"/>
      <w:r w:rsidRPr="00953023">
        <w:rPr>
          <w:bCs/>
          <w:sz w:val="16"/>
          <w:szCs w:val="16"/>
        </w:rPr>
        <w:t>SE</w:t>
      </w:r>
      <w:proofErr w:type="gramEnd"/>
      <w:r w:rsidRPr="00953023">
        <w:rPr>
          <w:bCs/>
          <w:sz w:val="16"/>
          <w:szCs w:val="16"/>
        </w:rPr>
        <w:t xml:space="preserve"> and its management company is Schroder Investment Management (Europe) </w:t>
      </w:r>
      <w:proofErr w:type="gramStart"/>
      <w:r w:rsidRPr="00953023">
        <w:rPr>
          <w:bCs/>
          <w:sz w:val="16"/>
          <w:szCs w:val="16"/>
        </w:rPr>
        <w:t>S.A..</w:t>
      </w:r>
      <w:proofErr w:type="gramEnd"/>
      <w:r w:rsidRPr="00953023">
        <w:rPr>
          <w:bCs/>
          <w:sz w:val="16"/>
          <w:szCs w:val="16"/>
        </w:rPr>
        <w:t xml:space="preserve"> The Company is a UCITS registered in Luxembourg.</w:t>
      </w:r>
    </w:p>
    <w:p w14:paraId="39DD0879" w14:textId="77777777" w:rsidR="00AE2251" w:rsidRPr="00953023" w:rsidRDefault="00B73084" w:rsidP="001A0473">
      <w:pPr>
        <w:pStyle w:val="BodyText"/>
        <w:spacing w:before="59" w:after="0"/>
        <w:ind w:right="266"/>
        <w:rPr>
          <w:sz w:val="16"/>
          <w:szCs w:val="16"/>
        </w:rPr>
      </w:pPr>
      <w:r w:rsidRPr="00953023">
        <w:rPr>
          <w:b/>
          <w:sz w:val="16"/>
          <w:szCs w:val="16"/>
        </w:rPr>
        <w:t xml:space="preserve">For the UK, </w:t>
      </w:r>
      <w:proofErr w:type="gramStart"/>
      <w:r w:rsidRPr="00953023">
        <w:rPr>
          <w:bCs/>
          <w:sz w:val="16"/>
          <w:szCs w:val="16"/>
        </w:rPr>
        <w:t>The</w:t>
      </w:r>
      <w:proofErr w:type="gramEnd"/>
      <w:r w:rsidRPr="00953023">
        <w:rPr>
          <w:bCs/>
          <w:sz w:val="16"/>
          <w:szCs w:val="16"/>
        </w:rPr>
        <w:t xml:space="preserve"> prospectus and KIIDs are available in English at https://www.schroders.com/en-gb/uk/individual/fund-centre/. This product is based overseas and is not subject to UK sustainable investment labelling and disclosure requirements.</w:t>
      </w:r>
    </w:p>
    <w:p w14:paraId="6F9AE272" w14:textId="77777777" w:rsidR="00AE2251" w:rsidRPr="00953023" w:rsidRDefault="00B73084" w:rsidP="001A0473">
      <w:pPr>
        <w:pStyle w:val="BodyText"/>
        <w:spacing w:before="59" w:after="0"/>
        <w:ind w:right="266"/>
        <w:rPr>
          <w:sz w:val="16"/>
          <w:szCs w:val="16"/>
        </w:rPr>
      </w:pPr>
      <w:r w:rsidRPr="00953023">
        <w:rPr>
          <w:b/>
          <w:sz w:val="16"/>
          <w:szCs w:val="16"/>
        </w:rPr>
        <w:t xml:space="preserve">For Italy, </w:t>
      </w:r>
      <w:proofErr w:type="gramStart"/>
      <w:r w:rsidRPr="00953023">
        <w:rPr>
          <w:bCs/>
          <w:sz w:val="16"/>
          <w:szCs w:val="16"/>
        </w:rPr>
        <w:t>The</w:t>
      </w:r>
      <w:proofErr w:type="gramEnd"/>
      <w:r w:rsidRPr="00953023">
        <w:rPr>
          <w:bCs/>
          <w:sz w:val="16"/>
          <w:szCs w:val="16"/>
        </w:rPr>
        <w:t xml:space="preserve"> prospectus and KIIDs are available in Italian, free of charge, from Schroder Investment Management (Europe) S.A., Via Manzoni 5, 20121 Milan and from our distributors.</w:t>
      </w:r>
    </w:p>
    <w:p w14:paraId="23EE1D1C" w14:textId="77777777" w:rsidR="00194907" w:rsidRPr="00A23F93" w:rsidRDefault="00310EDC" w:rsidP="001A0473">
      <w:pPr>
        <w:pStyle w:val="Disclaimertext"/>
        <w:spacing w:before="59" w:line="240" w:lineRule="auto"/>
      </w:pPr>
      <w:r>
        <w:t>The fund has environmental and/or social characteristics within the meaning of Article 8 of Regulation (EU) 2019/2088 on Sustainability-related Disclosures in the Financial Services Sector (the “SFDR”). For information on sustainability-related aspects of this fund please go to www.schroders.com</w:t>
      </w:r>
    </w:p>
    <w:p w14:paraId="00DF9205" w14:textId="77777777" w:rsidR="00194907" w:rsidRPr="00A23F93" w:rsidRDefault="00310EDC" w:rsidP="001A0473">
      <w:pPr>
        <w:pStyle w:val="Disclaimertext"/>
        <w:spacing w:before="59" w:line="240" w:lineRule="auto"/>
      </w:pPr>
      <w:r>
        <w:t>Any reference to regions/ countries/ sectors/ stocks/ securities is for illustrative purposes only and not a recommendation to buy or sell any financial instruments or adopt a specific investment strategy.</w:t>
      </w:r>
    </w:p>
    <w:p w14:paraId="1BF16AF0" w14:textId="77777777" w:rsidR="00194907" w:rsidRPr="00A23F93" w:rsidRDefault="00310EDC" w:rsidP="001A0473">
      <w:pPr>
        <w:pStyle w:val="Disclaimertext"/>
        <w:spacing w:before="59" w:line="240" w:lineRule="auto"/>
      </w:pPr>
      <w:r>
        <w:t xml:space="preserve">Schroders may decide to cease the distribution of any fund(s) in any EEA country at any </w:t>
      </w:r>
      <w:proofErr w:type="gramStart"/>
      <w:r>
        <w:t>time</w:t>
      </w:r>
      <w:proofErr w:type="gramEnd"/>
      <w:r>
        <w:t xml:space="preserve"> but we will publish our intention to do so on our website, in line with applicable regulatory requirements.</w:t>
      </w:r>
    </w:p>
    <w:p w14:paraId="17A0379B" w14:textId="77777777" w:rsidR="00970DD6" w:rsidRDefault="00C83FDE" w:rsidP="00C83FDE">
      <w:pPr>
        <w:pStyle w:val="Disclaimertext"/>
        <w:tabs>
          <w:tab w:val="left" w:pos="4080"/>
        </w:tabs>
        <w:spacing w:before="59" w:line="240" w:lineRule="auto"/>
      </w:pPr>
      <w:r w:rsidRPr="00970DD6">
        <w:rPr>
          <w:b/>
          <w:bCs/>
        </w:rPr>
        <w:t>Past Performance is not a guide to future performance and may not be repeated. The value of investments and the income from them may go down as well as up and investors may not get back the amounts originally invested. Exchange rate changes may cause the value of investments to fall as well as rise.</w:t>
      </w:r>
      <w:r>
        <w:tab/>
      </w:r>
    </w:p>
    <w:p w14:paraId="7882000C" w14:textId="77777777" w:rsidR="00C83FDE" w:rsidRDefault="00C83FDE" w:rsidP="00C83FDE">
      <w:pPr>
        <w:pStyle w:val="Disclaimertext"/>
        <w:spacing w:before="59" w:line="240" w:lineRule="auto"/>
        <w:rPr>
          <w:rFonts w:eastAsiaTheme="minorHAnsi" w:cstheme="minorBidi"/>
          <w:sz w:val="19"/>
          <w:szCs w:val="22"/>
        </w:rPr>
      </w:pPr>
      <w:r>
        <w:t xml:space="preserve">Performance data does not </w:t>
      </w:r>
      <w:proofErr w:type="gramStart"/>
      <w:r>
        <w:t>take into account</w:t>
      </w:r>
      <w:proofErr w:type="gramEnd"/>
      <w:r>
        <w:t xml:space="preserve"> any commissions and costs, if any, charged when units or shares of any fund, as applicable, are issued and redeemed.</w:t>
      </w:r>
    </w:p>
    <w:p w14:paraId="2E48C089" w14:textId="77777777" w:rsidR="00970DD6" w:rsidRDefault="00970DD6" w:rsidP="001A0473">
      <w:pPr>
        <w:pStyle w:val="Disclaimertext"/>
        <w:spacing w:before="59" w:line="240" w:lineRule="auto"/>
      </w:pPr>
      <w:r>
        <w:t xml:space="preserve">Schroders has expressed its own views and opinions in this </w:t>
      </w:r>
      <w:proofErr w:type="gramStart"/>
      <w:r>
        <w:t>document</w:t>
      </w:r>
      <w:proofErr w:type="gramEnd"/>
      <w:r>
        <w:t xml:space="preserve"> and these may change.</w:t>
      </w:r>
    </w:p>
    <w:p w14:paraId="380F26DB" w14:textId="77777777" w:rsidR="00970DD6" w:rsidRDefault="00970DD6" w:rsidP="001A0473">
      <w:pPr>
        <w:pStyle w:val="Disclaimertext"/>
        <w:spacing w:before="59" w:line="240" w:lineRule="auto"/>
      </w:pPr>
      <w:r>
        <w:t>The information contained herein is believed to be reliable. Where third-party data is referenced, it remains subject to the rights of the respective provider and must not be reproduced or used without prior consent.</w:t>
      </w:r>
    </w:p>
    <w:p w14:paraId="3852664B" w14:textId="77777777" w:rsidR="00970DD6" w:rsidRDefault="00970DD6" w:rsidP="001A0473">
      <w:pPr>
        <w:pStyle w:val="Disclaimertext"/>
        <w:spacing w:before="59" w:line="240" w:lineRule="auto"/>
      </w:pPr>
      <w:r>
        <w:lastRenderedPageBreak/>
        <w:t>This document may contain "forward-looking" information, such as forecasts or projections. Any forecasts stated in this document are not guaranteed and are provided for information purposes only.</w:t>
      </w:r>
    </w:p>
    <w:p w14:paraId="4C2B10B4" w14:textId="77777777" w:rsidR="00970DD6" w:rsidRDefault="00970DD6" w:rsidP="001A0473">
      <w:pPr>
        <w:pStyle w:val="Disclaimertext"/>
        <w:spacing w:before="59" w:line="240" w:lineRule="auto"/>
      </w:pPr>
      <w:r>
        <w:t>Schroders will be a data controller in respect of your personal data. For information on how Schroders might process your personal data, please view our Privacy Policy available at https://www.schroders.com/en/global/individual/footer/privacy-statement/ or on request should you not have access to this webpage.</w:t>
      </w:r>
    </w:p>
    <w:p w14:paraId="2B2CB1D8" w14:textId="77777777" w:rsidR="00970DD6" w:rsidRDefault="00970DD6" w:rsidP="001A0473">
      <w:pPr>
        <w:pStyle w:val="Disclaimertext"/>
        <w:spacing w:before="59" w:line="240" w:lineRule="auto"/>
      </w:pPr>
      <w:r>
        <w:t>A summary of investor rights may be obtained in Bulgarian, Czech, Dutch, English, French, German, Greek, Hungarian, Italian, Polish, Portuguese, Slovakian, Spanish and Swedish from https://www.schroders.com/en/global/individual/summary-of-investor-rights/</w:t>
      </w:r>
    </w:p>
    <w:p w14:paraId="6CAF66E2" w14:textId="77777777" w:rsidR="00970DD6" w:rsidRDefault="00970DD6" w:rsidP="001A0473">
      <w:pPr>
        <w:pStyle w:val="Disclaimertext"/>
        <w:spacing w:before="59" w:line="240" w:lineRule="auto"/>
      </w:pPr>
      <w:r>
        <w:t>Any third party data including MSCI data is owned or licensed by the data provider and may not be reproduced or extracted and used for any other purpose without the data provider's consent. Third party data is provided without any warranties of any kind. The data provider and issuer of the document shall have no liability in connection with the third party data. The terms of the third party’s specific disclaimers, if any, are set forth in the Important Information section at www.schroders.com.</w:t>
      </w:r>
    </w:p>
    <w:p w14:paraId="200AEDE1" w14:textId="77777777" w:rsidR="00970DD6" w:rsidRDefault="00970DD6" w:rsidP="001A0473">
      <w:pPr>
        <w:pStyle w:val="Disclaimertext"/>
        <w:spacing w:before="59" w:line="240" w:lineRule="auto"/>
      </w:pPr>
      <w:r>
        <w:t>For your security, communications may be recorded or monitored.</w:t>
      </w:r>
    </w:p>
    <w:p w14:paraId="5E549B4A" w14:textId="77777777" w:rsidR="00970DD6" w:rsidRDefault="00970DD6" w:rsidP="001A0473">
      <w:pPr>
        <w:pStyle w:val="Disclaimertext"/>
        <w:spacing w:before="59" w:line="240" w:lineRule="auto"/>
      </w:pPr>
      <w:r>
        <w:t>Issued by Schroder Investment Management (Europe) S.A., 5, rue Höhenhof, L-1736 Senningerberg, Luxembourg. Registration No B 37.799.</w:t>
      </w:r>
    </w:p>
    <w:p w14:paraId="6ED65BD1" w14:textId="77777777" w:rsidR="00194907" w:rsidRDefault="00DB6B18" w:rsidP="001A0473">
      <w:pPr>
        <w:pStyle w:val="Disclaimertext"/>
        <w:spacing w:before="59" w:line="240" w:lineRule="auto"/>
      </w:pPr>
      <w:r>
        <w:t>Distributed in Switzerland by Schroder Investment Management (Switzerland) AG, Talstrasse 11, CH-8001 Zurich, Switzerland, a fund management company authorised and supervised by the Swiss Financial Market Supervisory Authority FINMA, Laupenstrasse 27, CH-3003 Bern.</w:t>
      </w:r>
    </w:p>
    <w:p w14:paraId="308D5D62" w14:textId="77777777" w:rsidR="00194907" w:rsidRDefault="00DB6B18" w:rsidP="001A0473">
      <w:pPr>
        <w:pStyle w:val="Disclaimertext"/>
        <w:spacing w:before="59" w:line="240" w:lineRule="auto"/>
      </w:pPr>
      <w:r>
        <w:t>Distributed in Spain by Schroder Investment Management (Europe) S.A., Spanish branch, a foreign management company, registered in the EEA investment firm register with the National Market Commission of Securities (CNMV) with the number 20.</w:t>
      </w:r>
    </w:p>
    <w:p w14:paraId="3A444734" w14:textId="77777777" w:rsidR="00194907" w:rsidRDefault="00DB6B18" w:rsidP="001A0473">
      <w:pPr>
        <w:pStyle w:val="Disclaimertext"/>
        <w:spacing w:before="59" w:line="240" w:lineRule="auto"/>
      </w:pPr>
      <w:r>
        <w:t>Distributed in the UK by Schroder Investment Management Ltd, 1 London Wall Place, London EC2Y 5AU. Registration No 1893220 England. Authorised and regulated by the Financial Conduct Authority.</w:t>
      </w:r>
    </w:p>
    <w:p w14:paraId="686C5E1F" w14:textId="77777777" w:rsidR="00194907" w:rsidRDefault="00DB6B18" w:rsidP="001A0473">
      <w:pPr>
        <w:pStyle w:val="Disclaimertext"/>
        <w:spacing w:before="59" w:line="240" w:lineRule="auto"/>
      </w:pPr>
      <w:r>
        <w:t>Distributed in Portugal by Schroder Investment Management (Europe), S.A., registered with the Portuguese Securities Market Commission (CMVM) under the Freedom to Provide Services and with a branch in Spain, registered with the National Securities Market Commission (CNMV) of Investment Services Companies of the European Economic Area with a branch in Spain under number 20.</w:t>
      </w:r>
    </w:p>
    <w:bookmarkEnd w:id="0"/>
    <w:bookmarkEnd w:id="1"/>
    <w:p w14:paraId="2063A900" w14:textId="77777777" w:rsidR="00310EDC" w:rsidRPr="00067C96" w:rsidRDefault="00A23F93" w:rsidP="001A0473">
      <w:pPr>
        <w:pStyle w:val="BodytextRegular"/>
        <w:spacing w:before="59" w:after="0"/>
        <w:rPr>
          <w:sz w:val="16"/>
          <w:szCs w:val="16"/>
        </w:rPr>
      </w:pPr>
      <w:r w:rsidRPr="00067C96">
        <w:rPr>
          <w:noProof/>
          <w:sz w:val="16"/>
          <w:szCs w:val="16"/>
        </w:rPr>
        <w:drawing>
          <wp:anchor distT="0" distB="0" distL="114300" distR="114300" simplePos="0" relativeHeight="251658242" behindDoc="0" locked="1" layoutInCell="1" allowOverlap="1" wp14:anchorId="1A1D9CFC" wp14:editId="52EE3E11">
            <wp:simplePos x="0" y="0"/>
            <wp:positionH relativeFrom="margin">
              <wp:align>left</wp:align>
            </wp:positionH>
            <wp:positionV relativeFrom="page">
              <wp:posOffset>10060940</wp:posOffset>
            </wp:positionV>
            <wp:extent cx="1536700" cy="287655"/>
            <wp:effectExtent l="0" t="0" r="6350" b="0"/>
            <wp:wrapNone/>
            <wp:docPr id="700565160"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165951" name="Picture 5" descr="A blue and black logo&#10;&#10;Description automatically generated"/>
                    <pic:cNvPicPr/>
                  </pic:nvPicPr>
                  <pic:blipFill rotWithShape="1">
                    <a:blip r:embed="rId9"/>
                    <a:srcRect l="9451" t="26760" r="9749" b="28209"/>
                    <a:stretch/>
                  </pic:blipFill>
                  <pic:spPr bwMode="auto">
                    <a:xfrm>
                      <a:off x="0" y="0"/>
                      <a:ext cx="1536700" cy="287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10EDC" w:rsidRPr="00067C96">
        <w:rPr>
          <w:b/>
          <w:bCs/>
          <w:sz w:val="16"/>
          <w:szCs w:val="16"/>
        </w:rPr>
        <w:t>SustainEx</w:t>
      </w:r>
      <w:r w:rsidR="00310EDC" w:rsidRPr="00067C96">
        <w:rPr>
          <w:sz w:val="16"/>
          <w:szCs w:val="16"/>
        </w:rPr>
        <w:t>™ </w:t>
      </w:r>
      <w:r w:rsidR="008F75F9" w:rsidRPr="008F75F9">
        <w:rPr>
          <w:sz w:val="16"/>
          <w:szCs w:val="16"/>
        </w:rPr>
        <w:t>Schroders uses SustainEx™ to estimate the net social and environmental “cost” or “benefit” of an investment portfolio having regard to certain sustainability measures in comparison to a product’s benchmark where relevant. It does this using third party data as well as Schroders own estimates and assumptions and the outcome may differ from other sustainability tools and measures.</w:t>
      </w:r>
    </w:p>
    <w:p w14:paraId="2A572165" w14:textId="77777777" w:rsidR="00310EDC" w:rsidRPr="00067C96" w:rsidRDefault="00310EDC" w:rsidP="001A0473">
      <w:pPr>
        <w:pStyle w:val="Disclaimertext"/>
        <w:spacing w:before="59" w:line="240" w:lineRule="auto"/>
        <w:rPr>
          <w:szCs w:val="16"/>
        </w:rPr>
      </w:pPr>
      <w:r w:rsidRPr="00067C96">
        <w:rPr>
          <w:b/>
          <w:bCs/>
          <w:szCs w:val="16"/>
        </w:rPr>
        <w:t>CONTEXT™</w:t>
      </w:r>
      <w:r w:rsidRPr="00067C96">
        <w:rPr>
          <w:szCs w:val="16"/>
        </w:rPr>
        <w:t xml:space="preserve"> is a proprietary tool used by Schroders to support the analysis of companies’ and issuers’ management of the environmental, social and governance trends, challenges and opportunities that Schroders believes to be most relevant to that company’s or issuer’s industry. It provides access to a wide range of data sources chosen by Schroders. Any views or conclusions integrated into Schroders’ investment-decision making or research by fund managers or analysts </w:t>
      </w:r>
      <w:proofErr w:type="gramStart"/>
      <w:r w:rsidRPr="00067C96">
        <w:rPr>
          <w:szCs w:val="16"/>
        </w:rPr>
        <w:t>through the use of</w:t>
      </w:r>
      <w:proofErr w:type="gramEnd"/>
      <w:r w:rsidRPr="00067C96">
        <w:rPr>
          <w:szCs w:val="16"/>
        </w:rPr>
        <w:t xml:space="preserve"> CONTEXT™ will reflect their judgement of the sustainability of one or more aspects of the relevant company’s or issuer’s business model, rather than a systematic and data-driven score of the company or issuer in question.</w:t>
      </w:r>
    </w:p>
    <w:p w14:paraId="6BA8E29A" w14:textId="77777777" w:rsidR="00310EDC" w:rsidRPr="00067C96" w:rsidRDefault="00310EDC" w:rsidP="001A0473">
      <w:pPr>
        <w:pStyle w:val="Disclaimertext"/>
        <w:spacing w:before="59" w:line="240" w:lineRule="auto"/>
        <w:rPr>
          <w:szCs w:val="16"/>
        </w:rPr>
      </w:pPr>
      <w:r w:rsidRPr="00067C96">
        <w:rPr>
          <w:b/>
          <w:bCs/>
          <w:szCs w:val="16"/>
        </w:rPr>
        <w:t>MSCI index:</w:t>
      </w:r>
      <w:r w:rsidRPr="00067C96">
        <w:rPr>
          <w:szCs w:val="16"/>
        </w:rPr>
        <w:t xml:space="preserve"> </w:t>
      </w:r>
      <w:r w:rsidR="008F75F9" w:rsidRPr="008F75F9">
        <w:rPr>
          <w:szCs w:val="16"/>
        </w:rPr>
        <w:t xml:space="preserve">Source: MSCI. The MSCI information may only be used for your internal use, may not be reproduced or </w:t>
      </w:r>
      <w:proofErr w:type="spellStart"/>
      <w:r w:rsidR="008F75F9" w:rsidRPr="008F75F9">
        <w:rPr>
          <w:szCs w:val="16"/>
        </w:rPr>
        <w:t>redisseminated</w:t>
      </w:r>
      <w:proofErr w:type="spellEnd"/>
      <w:r w:rsidR="008F75F9" w:rsidRPr="008F75F9">
        <w:rPr>
          <w:szCs w:val="16"/>
        </w:rPr>
        <w:t xml:space="preserve"> in any form and may not be used as a basis for or a component of any financial instruments or products or indices. None of the MSCI information is intended to constitute investment advice or a recommendation to make (or refrain from making) any kind of investment decision and may not be relied on as such. Historical data and analysis should not be taken as an indication or guarantee of any future performance analysis, forecast or prediction. The MSCI information is provided on an “as is” basis and the user of this information </w:t>
      </w:r>
      <w:proofErr w:type="gramStart"/>
      <w:r w:rsidR="008F75F9" w:rsidRPr="008F75F9">
        <w:rPr>
          <w:szCs w:val="16"/>
        </w:rPr>
        <w:t>assumes</w:t>
      </w:r>
      <w:proofErr w:type="gramEnd"/>
      <w:r w:rsidR="008F75F9" w:rsidRPr="008F75F9">
        <w:rPr>
          <w:szCs w:val="16"/>
        </w:rPr>
        <w:t xml:space="preserve"> the entire risk of any use made of this information. MSCI, each of its affiliates and each other person involved in or related to compiling, computing or creating any MSCI information (collectively, the “MSCI Parties”) expressly disclaims all warranties (including, without limitation, any warranties of originality, accuracy, completeness, timeliness, non-infringement, merchantability and fitness for a particular purpose) with respect to this information. Without limiting any of the foregoing, in no event shall any MSCI Party have any liability for any direct, indirect, special, incidental, punitive, consequential (including, without limitation, lost profits) or any other damages. (www.msci.com).</w:t>
      </w:r>
    </w:p>
    <w:p w14:paraId="490A0FA7" w14:textId="77777777" w:rsidR="00310EDC" w:rsidRPr="00067C96" w:rsidRDefault="00310EDC" w:rsidP="001A0473">
      <w:pPr>
        <w:pStyle w:val="BodyText"/>
        <w:spacing w:before="59" w:after="0"/>
        <w:rPr>
          <w:sz w:val="16"/>
          <w:szCs w:val="16"/>
        </w:rPr>
      </w:pPr>
      <w:r w:rsidRPr="00067C96">
        <w:rPr>
          <w:b/>
          <w:bCs/>
          <w:sz w:val="16"/>
          <w:szCs w:val="16"/>
        </w:rPr>
        <w:t xml:space="preserve">FTSE index:  </w:t>
      </w:r>
      <w:r w:rsidRPr="00067C96">
        <w:rPr>
          <w:sz w:val="16"/>
          <w:szCs w:val="16"/>
        </w:rPr>
        <w:t xml:space="preserve">LSEG is the administrator of certain indices and benchmarks as detailed at https://www.lseg.com/en/ftse-russell/benchmarks. No other information provided, displayed or contained in any LSEG service is made available for use as a benchmark, whether in relation to a financial instrument, financial contract or to measure the performance of an investment fund, or otherwise in a way that would require the relevant information to be administered by a benchmark administrator pursuant to the Benchmarks Regulation (the “Prohibited Use”). LSEG does not grant rights for you to access or use such information for the Prohibited </w:t>
      </w:r>
      <w:proofErr w:type="gramStart"/>
      <w:r w:rsidRPr="00067C96">
        <w:rPr>
          <w:sz w:val="16"/>
          <w:szCs w:val="16"/>
        </w:rPr>
        <w:t>Use</w:t>
      </w:r>
      <w:proofErr w:type="gramEnd"/>
      <w:r w:rsidRPr="00067C96">
        <w:rPr>
          <w:sz w:val="16"/>
          <w:szCs w:val="16"/>
        </w:rPr>
        <w:t xml:space="preserve"> and you may breach the Benchmarks Regulation and/or any contract with LSEG if you do. </w:t>
      </w:r>
      <w:proofErr w:type="gramStart"/>
      <w:r w:rsidRPr="00067C96">
        <w:rPr>
          <w:sz w:val="16"/>
          <w:szCs w:val="16"/>
        </w:rPr>
        <w:t>In the event that</w:t>
      </w:r>
      <w:proofErr w:type="gramEnd"/>
      <w:r w:rsidRPr="00067C96">
        <w:rPr>
          <w:sz w:val="16"/>
          <w:szCs w:val="16"/>
        </w:rPr>
        <w:t xml:space="preserve"> you identify the Prohibited Use of information by any person, you must promptly notify LSEG and provide such details as we may reasonably request to ensure the cessation of the Prohibited Use, where appropriate. Notwithstanding the foregoing, where you have entered into a direct license with a third-party provider which permits the Prohibited Use with respect to such third party provider’s information, you are solely responsible for compliance with Benchmarks Regulation and LSEG shall have no liability or responsibility for any loss or damages that arise from or in connection with the Prohibited Use. LSEG and its affiliates do not warrant that any information is provided in compliance with the Benchmarks Regulation and accept no liability and have no responsibility for any loss or damages that arise from or in connection with the Prohibited Use of the information. “Benchmarks Regulation” means, in respect of the EEA, EU Regulation 2016/1011, in respect of UK, UK benchmarks regulation and in respect of another country, the equivalent legislation. If you are in any doubt about the meaning of the Prohibited Use or your obligations under the Benchmarks Regulation, you should seek professional advice.</w:t>
      </w:r>
    </w:p>
    <w:p w14:paraId="22074E1D" w14:textId="77777777" w:rsidR="00310EDC" w:rsidRPr="00067C96" w:rsidRDefault="00310EDC" w:rsidP="001A0473">
      <w:pPr>
        <w:pStyle w:val="BodyText"/>
        <w:spacing w:before="59" w:after="0"/>
        <w:rPr>
          <w:sz w:val="16"/>
          <w:szCs w:val="16"/>
        </w:rPr>
      </w:pPr>
      <w:r w:rsidRPr="00067C96">
        <w:rPr>
          <w:b/>
          <w:bCs/>
          <w:sz w:val="16"/>
          <w:szCs w:val="16"/>
        </w:rPr>
        <w:t>JP Morgan index</w:t>
      </w:r>
      <w:r w:rsidRPr="00067C96">
        <w:rPr>
          <w:sz w:val="16"/>
          <w:szCs w:val="16"/>
        </w:rPr>
        <w:t xml:space="preserve">: Information has been obtained from sources believed to be </w:t>
      </w:r>
      <w:proofErr w:type="gramStart"/>
      <w:r w:rsidRPr="00067C96">
        <w:rPr>
          <w:sz w:val="16"/>
          <w:szCs w:val="16"/>
        </w:rPr>
        <w:t>reliable</w:t>
      </w:r>
      <w:proofErr w:type="gramEnd"/>
      <w:r w:rsidRPr="00067C96">
        <w:rPr>
          <w:sz w:val="16"/>
          <w:szCs w:val="16"/>
        </w:rPr>
        <w:t xml:space="preserve"> but J.P. Morgan does not warrant its completeness or accuracy. The index is used with permission. The index may not be copied, used or distributed without J.P. Morgan's prior written approval. Copyright 2014, J.P. Morgan Chase &amp; Co. All rights reserved.</w:t>
      </w:r>
    </w:p>
    <w:p w14:paraId="0D4C7D37" w14:textId="77777777" w:rsidR="00310EDC" w:rsidRPr="00067C96" w:rsidRDefault="00310EDC" w:rsidP="001A0473">
      <w:pPr>
        <w:pStyle w:val="BodyText"/>
        <w:spacing w:before="59" w:after="0"/>
        <w:rPr>
          <w:sz w:val="16"/>
          <w:szCs w:val="16"/>
        </w:rPr>
      </w:pPr>
      <w:r w:rsidRPr="00067C96">
        <w:rPr>
          <w:b/>
          <w:bCs/>
          <w:sz w:val="16"/>
          <w:szCs w:val="16"/>
        </w:rPr>
        <w:lastRenderedPageBreak/>
        <w:t xml:space="preserve">©Morningstar </w:t>
      </w:r>
      <w:r w:rsidR="00C51BFF">
        <w:rPr>
          <w:b/>
          <w:bCs/>
          <w:sz w:val="16"/>
          <w:szCs w:val="16"/>
        </w:rPr>
        <w:t>2026</w:t>
      </w:r>
      <w:r w:rsidRPr="00067C96">
        <w:rPr>
          <w:sz w:val="16"/>
          <w:szCs w:val="16"/>
        </w:rPr>
        <w:t>. All Rights Reserved. The information contained herein: (1) is proprietary to Morningstar and/or its content providers; (2) may not be copied or distributed; and (3) is not warranted to be accurate, complete or timely. Neither Morningstar nor its content providers are responsible for any damages or losses arising from any use of this information. Past performance is no guarantee of future results.</w:t>
      </w:r>
    </w:p>
    <w:p w14:paraId="4A6C4FD1" w14:textId="77777777" w:rsidR="00310EDC" w:rsidRPr="00067C96" w:rsidRDefault="00310EDC" w:rsidP="001A0473">
      <w:pPr>
        <w:pStyle w:val="BodyText"/>
        <w:spacing w:before="59" w:after="0"/>
        <w:rPr>
          <w:sz w:val="16"/>
          <w:szCs w:val="16"/>
        </w:rPr>
      </w:pPr>
      <w:r w:rsidRPr="00067C96">
        <w:rPr>
          <w:b/>
          <w:bCs/>
          <w:sz w:val="16"/>
          <w:szCs w:val="16"/>
        </w:rPr>
        <w:t>©</w:t>
      </w:r>
      <w:r w:rsidR="00C51BFF">
        <w:rPr>
          <w:b/>
          <w:bCs/>
          <w:sz w:val="16"/>
          <w:szCs w:val="16"/>
        </w:rPr>
        <w:t>2026</w:t>
      </w:r>
      <w:r w:rsidRPr="00067C96">
        <w:rPr>
          <w:b/>
          <w:bCs/>
          <w:sz w:val="16"/>
          <w:szCs w:val="16"/>
        </w:rPr>
        <w:t xml:space="preserve"> Nasdaq, Inc. </w:t>
      </w:r>
      <w:r w:rsidRPr="00067C96">
        <w:rPr>
          <w:sz w:val="16"/>
          <w:szCs w:val="16"/>
        </w:rPr>
        <w:t>All Rights Reserved. The information, data, analysis and Information contained herein (i) include the proprietary information of Nasdaq, Inc. and applicable Nasdaq Market, (ii) are subject to applicable Nasdaq Requirements (http://nasdaqtrader.com/Trader.aspx?id=GDP_Ops); (iii) may not be copied or further disseminated except as specifically authorized by Nasdaq, (iv) do not constitute investment advice, (v) are provided solely for informational purposes and (vi) Nasdaq makes no warranties including that the information is complete, accurate or timely. Nasdaq and Nasdaq Market bear no liability with respect to the data, analysis and Information.</w:t>
      </w:r>
    </w:p>
    <w:p w14:paraId="383EDE8A" w14:textId="77777777" w:rsidR="00310EDC" w:rsidRPr="00067C96" w:rsidRDefault="00310EDC" w:rsidP="001A0473">
      <w:pPr>
        <w:pStyle w:val="BodyText"/>
        <w:spacing w:before="59" w:after="0"/>
        <w:rPr>
          <w:sz w:val="16"/>
          <w:szCs w:val="16"/>
        </w:rPr>
      </w:pPr>
      <w:r w:rsidRPr="00067C96">
        <w:rPr>
          <w:b/>
          <w:bCs/>
          <w:sz w:val="16"/>
          <w:szCs w:val="16"/>
        </w:rPr>
        <w:t>S&amp;P indices:</w:t>
      </w:r>
      <w:r w:rsidRPr="00067C96">
        <w:rPr>
          <w:sz w:val="16"/>
          <w:szCs w:val="16"/>
        </w:rPr>
        <w:t xml:space="preserve"> The S&amp;P 500 is a product of S&amp;P Dow Jones Indices LLC, its affiliates and/or their third party licensors (“SPDJI”</w:t>
      </w:r>
      <w:proofErr w:type="gramStart"/>
      <w:r w:rsidRPr="00067C96">
        <w:rPr>
          <w:sz w:val="16"/>
          <w:szCs w:val="16"/>
        </w:rPr>
        <w:t>), and</w:t>
      </w:r>
      <w:proofErr w:type="gramEnd"/>
      <w:r w:rsidRPr="00067C96">
        <w:rPr>
          <w:sz w:val="16"/>
          <w:szCs w:val="16"/>
        </w:rPr>
        <w:t xml:space="preserve"> has been licensed for use by Schroders. S&amp;P® is a registered trademark of Standard &amp; Poor’s Financial Services LLC (“S&amp;P”); Dow Jones® is a registered trademark of Dow Jones Trademark Holdings LLC (“Dow Jones”</w:t>
      </w:r>
      <w:proofErr w:type="gramStart"/>
      <w:r w:rsidRPr="00067C96">
        <w:rPr>
          <w:sz w:val="16"/>
          <w:szCs w:val="16"/>
        </w:rPr>
        <w:t>);and</w:t>
      </w:r>
      <w:proofErr w:type="gramEnd"/>
      <w:r w:rsidRPr="00067C96">
        <w:rPr>
          <w:sz w:val="16"/>
          <w:szCs w:val="16"/>
        </w:rPr>
        <w:t xml:space="preserve"> these trademarks have been licensed for use by SPDJI and sublicensed for certain purposes by Schroders. Schroders is not sponsored, endorsed, sold or promoted by SPDJI, Dow Jones, S&amp;P, their respective affiliates or their third party licensors and none of such parties make any representation regarding the advisability of investing in such product(s) nor do they have any liability for any errors, omissions, or interruptions of the S&amp;P 500.</w:t>
      </w:r>
    </w:p>
    <w:sectPr w:rsidR="00310EDC" w:rsidRPr="00067C96" w:rsidSect="007943EA">
      <w:footerReference w:type="default" r:id="rId10"/>
      <w:footerReference w:type="first" r:id="rId11"/>
      <w:pgSz w:w="11906" w:h="16838" w:code="9"/>
      <w:pgMar w:top="851" w:right="851" w:bottom="624" w:left="85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F4A9E" w14:textId="77777777" w:rsidR="00543888" w:rsidRPr="00A23F93" w:rsidRDefault="00543888" w:rsidP="00EC4E49">
      <w:r w:rsidRPr="00A23F93">
        <w:separator/>
      </w:r>
    </w:p>
    <w:p w14:paraId="501E4C77" w14:textId="77777777" w:rsidR="00543888" w:rsidRPr="00A23F93" w:rsidRDefault="00543888"/>
    <w:p w14:paraId="35684C7E" w14:textId="77777777" w:rsidR="00543888" w:rsidRPr="00A23F93" w:rsidRDefault="00543888"/>
    <w:p w14:paraId="7D4B60C0" w14:textId="77777777" w:rsidR="00543888" w:rsidRPr="00A23F93" w:rsidRDefault="00543888"/>
    <w:p w14:paraId="4FCBA3EE" w14:textId="77777777" w:rsidR="00543888" w:rsidRPr="00A23F93" w:rsidRDefault="00543888"/>
    <w:p w14:paraId="525CB6CE" w14:textId="77777777" w:rsidR="00543888" w:rsidRPr="00A23F93" w:rsidRDefault="00543888"/>
  </w:endnote>
  <w:endnote w:type="continuationSeparator" w:id="0">
    <w:p w14:paraId="5DDDA3E4" w14:textId="77777777" w:rsidR="00543888" w:rsidRPr="00A23F93" w:rsidRDefault="00543888" w:rsidP="00EC4E49">
      <w:r w:rsidRPr="00A23F93">
        <w:continuationSeparator/>
      </w:r>
    </w:p>
    <w:p w14:paraId="1AE53FF1" w14:textId="77777777" w:rsidR="00543888" w:rsidRPr="00A23F93" w:rsidRDefault="00543888"/>
    <w:p w14:paraId="67D2B96B" w14:textId="77777777" w:rsidR="00543888" w:rsidRPr="00A23F93" w:rsidRDefault="00543888"/>
    <w:p w14:paraId="1A2038E8" w14:textId="77777777" w:rsidR="00543888" w:rsidRPr="00A23F93" w:rsidRDefault="00543888"/>
    <w:p w14:paraId="6133D97F" w14:textId="77777777" w:rsidR="00543888" w:rsidRPr="00A23F93" w:rsidRDefault="00543888"/>
    <w:p w14:paraId="1D2BC657" w14:textId="77777777" w:rsidR="00543888" w:rsidRPr="00A23F93" w:rsidRDefault="00543888"/>
  </w:endnote>
  <w:endnote w:type="continuationNotice" w:id="1">
    <w:p w14:paraId="382694C0" w14:textId="77777777" w:rsidR="00543888" w:rsidRPr="00A23F93" w:rsidRDefault="005438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altName w:val="Nirmala UI"/>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hroders Circular TT">
    <w:panose1 w:val="020B0804020101010102"/>
    <w:charset w:val="00"/>
    <w:family w:val="swiss"/>
    <w:pitch w:val="variable"/>
    <w:sig w:usb0="A00000BF" w:usb1="5000E47B" w:usb2="00000008" w:usb3="00000000" w:csb0="00000093" w:csb1="00000000"/>
  </w:font>
  <w:font w:name="SimHei">
    <w:panose1 w:val="02010600030101010101"/>
    <w:charset w:val="86"/>
    <w:family w:val="modern"/>
    <w:pitch w:val="fixed"/>
    <w:sig w:usb0="800002BF" w:usb1="38CF7CFA" w:usb2="00000016" w:usb3="00000000" w:csb0="00040001" w:csb1="00000000"/>
  </w:font>
  <w:font w:name="Schroders Circular TT Black">
    <w:panose1 w:val="020B0A04020101010102"/>
    <w:charset w:val="00"/>
    <w:family w:val="swiss"/>
    <w:pitch w:val="variable"/>
    <w:sig w:usb0="A00000BF" w:usb1="5000E47B" w:usb2="00000008" w:usb3="00000000" w:csb0="000000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EEBA3" w14:textId="77777777" w:rsidR="00626DB0" w:rsidRPr="00A23F93" w:rsidRDefault="00626DB0" w:rsidP="007943EA">
    <w:pPr>
      <w:spacing w:line="200" w:lineRule="exact"/>
      <w:ind w:firstLine="720"/>
      <w:rPr>
        <w:rFonts w:ascii="Noto Sans" w:hAnsi="Noto Sans"/>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65"/>
      <w:gridCol w:w="5262"/>
      <w:gridCol w:w="377"/>
    </w:tblGrid>
    <w:tr w:rsidR="00626DB0" w:rsidRPr="00A23F93" w14:paraId="07C19252" w14:textId="77777777" w:rsidTr="00F13ACE">
      <w:trPr>
        <w:trHeight w:hRule="exact" w:val="340"/>
      </w:trPr>
      <w:tc>
        <w:tcPr>
          <w:tcW w:w="4438" w:type="dxa"/>
          <w:vAlign w:val="center"/>
        </w:tcPr>
        <w:p w14:paraId="6D329185" w14:textId="77777777" w:rsidR="00626DB0" w:rsidRPr="00A23F93" w:rsidRDefault="00626DB0" w:rsidP="005F7F3D">
          <w:pPr>
            <w:pStyle w:val="BodyText"/>
            <w:rPr>
              <w:szCs w:val="16"/>
            </w:rPr>
          </w:pPr>
        </w:p>
      </w:tc>
      <w:tc>
        <w:tcPr>
          <w:tcW w:w="5117" w:type="dxa"/>
          <w:vAlign w:val="center"/>
        </w:tcPr>
        <w:p w14:paraId="48059C31" w14:textId="7B4BF230" w:rsidR="00626DB0" w:rsidRPr="00A23F93" w:rsidRDefault="007C6C31" w:rsidP="002C423C">
          <w:pPr>
            <w:pStyle w:val="Prussiannavyfootertextright"/>
          </w:pPr>
          <w:r>
            <w:t xml:space="preserve">Schroder ISF* </w:t>
          </w:r>
          <w:r w:rsidR="00253684">
            <w:t>EURO</w:t>
          </w:r>
          <w:r>
            <w:t xml:space="preserve"> Credit Conviction Short Duration</w:t>
          </w:r>
        </w:p>
      </w:tc>
      <w:tc>
        <w:tcPr>
          <w:tcW w:w="367" w:type="dxa"/>
          <w:vAlign w:val="center"/>
        </w:tcPr>
        <w:p w14:paraId="1A45EDD4" w14:textId="77777777" w:rsidR="00626DB0" w:rsidRPr="00A23F93" w:rsidRDefault="00626DB0" w:rsidP="0095184E">
          <w:pPr>
            <w:pStyle w:val="PageNumber1"/>
          </w:pPr>
          <w:r w:rsidRPr="00A23F93">
            <w:rPr>
              <w:rStyle w:val="PageNumber"/>
              <w:b/>
            </w:rPr>
            <w:fldChar w:fldCharType="begin"/>
          </w:r>
          <w:r w:rsidRPr="00A23F93">
            <w:rPr>
              <w:rStyle w:val="PageNumber"/>
              <w:b/>
            </w:rPr>
            <w:instrText xml:space="preserve"> PAGE   \* MERGEFORMAT </w:instrText>
          </w:r>
          <w:r w:rsidRPr="00A23F93">
            <w:rPr>
              <w:rStyle w:val="PageNumber"/>
              <w:b/>
            </w:rPr>
            <w:fldChar w:fldCharType="separate"/>
          </w:r>
          <w:r w:rsidRPr="00A23F93">
            <w:rPr>
              <w:rStyle w:val="PageNumber"/>
              <w:b/>
            </w:rPr>
            <w:t>1</w:t>
          </w:r>
          <w:r w:rsidRPr="00A23F93">
            <w:rPr>
              <w:rStyle w:val="PageNumber"/>
              <w:b/>
            </w:rPr>
            <w:fldChar w:fldCharType="end"/>
          </w:r>
        </w:p>
      </w:tc>
    </w:tr>
  </w:tbl>
  <w:p w14:paraId="2816FF06" w14:textId="77777777" w:rsidR="00626DB0" w:rsidRPr="00A23F93" w:rsidRDefault="00626DB0" w:rsidP="00903816">
    <w:pPr>
      <w:spacing w:line="200" w:lineRule="exact"/>
      <w:rPr>
        <w:rFonts w:ascii="Noto Sans" w:hAnsi="Noto San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0EA0" w14:textId="77777777" w:rsidR="00B66C15" w:rsidRDefault="00B66C15" w:rsidP="00B66C15">
    <w:pPr>
      <w:pStyle w:val="FootnoteText"/>
    </w:pPr>
    <w:r>
      <w:t>*Schroder International Selection Fund is referred to as Schroder ISF throughout.</w:t>
    </w:r>
  </w:p>
  <w:p w14:paraId="7C4ADF3F" w14:textId="77777777" w:rsidR="00B5080A" w:rsidRPr="00B66C15" w:rsidRDefault="00634810" w:rsidP="00B66C15">
    <w:pPr>
      <w:pStyle w:val="FootnoteText"/>
      <w:rPr>
        <w:sz w:val="19"/>
        <w:szCs w:val="22"/>
      </w:rPr>
    </w:pPr>
    <w:r>
      <w:tab/>
    </w:r>
    <w:r>
      <w:rPr>
        <w:noProof/>
      </w:rPr>
      <w:drawing>
        <wp:anchor distT="0" distB="0" distL="114300" distR="114300" simplePos="0" relativeHeight="251659264" behindDoc="0" locked="1" layoutInCell="1" allowOverlap="1" wp14:anchorId="631374FB" wp14:editId="5A5FD0C3">
          <wp:simplePos x="0" y="0"/>
          <wp:positionH relativeFrom="page">
            <wp:posOffset>5478780</wp:posOffset>
          </wp:positionH>
          <wp:positionV relativeFrom="page">
            <wp:posOffset>10188575</wp:posOffset>
          </wp:positionV>
          <wp:extent cx="1536700" cy="287655"/>
          <wp:effectExtent l="0" t="0" r="6350" b="0"/>
          <wp:wrapNone/>
          <wp:docPr id="17762846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504451" name="Picture 5"/>
                  <pic:cNvPicPr/>
                </pic:nvPicPr>
                <pic:blipFill rotWithShape="1">
                  <a:blip r:embed="rId1"/>
                  <a:srcRect l="9451" t="26760" r="9749" b="28209"/>
                  <a:stretch/>
                </pic:blipFill>
                <pic:spPr bwMode="auto">
                  <a:xfrm>
                    <a:off x="0" y="0"/>
                    <a:ext cx="1536700" cy="287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0EB18" w14:textId="77777777" w:rsidR="00543888" w:rsidRPr="00A23F93" w:rsidRDefault="00543888" w:rsidP="005B67EA">
      <w:r w:rsidRPr="00A23F93">
        <w:separator/>
      </w:r>
    </w:p>
  </w:footnote>
  <w:footnote w:type="continuationSeparator" w:id="0">
    <w:p w14:paraId="5DE6829B" w14:textId="77777777" w:rsidR="00543888" w:rsidRPr="00A23F93" w:rsidRDefault="00543888" w:rsidP="00EC4E49">
      <w:r w:rsidRPr="00A23F93">
        <w:continuationSeparator/>
      </w:r>
    </w:p>
    <w:p w14:paraId="6F2D57BC" w14:textId="77777777" w:rsidR="00543888" w:rsidRPr="00A23F93" w:rsidRDefault="00543888"/>
  </w:footnote>
  <w:footnote w:type="continuationNotice" w:id="1">
    <w:p w14:paraId="42A7E8DD" w14:textId="77777777" w:rsidR="00543888" w:rsidRPr="00A23F93" w:rsidRDefault="00543888"/>
    <w:p w14:paraId="3E9D4C0A" w14:textId="77777777" w:rsidR="00543888" w:rsidRPr="00A23F93" w:rsidRDefault="005438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642C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44BD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6285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44F6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7A1220"/>
    <w:lvl w:ilvl="0">
      <w:start w:val="31"/>
      <w:numFmt w:val="bullet"/>
      <w:pStyle w:val="ListBullet5"/>
      <w:lvlText w:val="–"/>
      <w:lvlJc w:val="left"/>
      <w:pPr>
        <w:ind w:left="1492" w:hanging="360"/>
      </w:pPr>
      <w:rPr>
        <w:rFonts w:ascii="Arial" w:eastAsia="Times New Roman" w:hAnsi="Arial" w:hint="default"/>
      </w:rPr>
    </w:lvl>
  </w:abstractNum>
  <w:abstractNum w:abstractNumId="5" w15:restartNumberingAfterBreak="0">
    <w:nsid w:val="FFFFFF81"/>
    <w:multiLevelType w:val="singleLevel"/>
    <w:tmpl w:val="03A2BA0E"/>
    <w:lvl w:ilvl="0">
      <w:start w:val="31"/>
      <w:numFmt w:val="bullet"/>
      <w:pStyle w:val="ListBullet4"/>
      <w:lvlText w:val="–"/>
      <w:lvlJc w:val="left"/>
      <w:pPr>
        <w:ind w:left="1040" w:hanging="360"/>
      </w:pPr>
      <w:rPr>
        <w:rFonts w:ascii="Arial" w:eastAsia="Times New Roman" w:hAnsi="Arial" w:hint="default"/>
      </w:rPr>
    </w:lvl>
  </w:abstractNum>
  <w:abstractNum w:abstractNumId="6" w15:restartNumberingAfterBreak="0">
    <w:nsid w:val="FFFFFF82"/>
    <w:multiLevelType w:val="singleLevel"/>
    <w:tmpl w:val="0B9A7D00"/>
    <w:lvl w:ilvl="0">
      <w:start w:val="31"/>
      <w:numFmt w:val="bullet"/>
      <w:pStyle w:val="ListBullet3"/>
      <w:lvlText w:val="–"/>
      <w:lvlJc w:val="left"/>
      <w:pPr>
        <w:ind w:left="926" w:hanging="360"/>
      </w:pPr>
      <w:rPr>
        <w:rFonts w:ascii="Arial" w:eastAsia="Times New Roman" w:hAnsi="Arial" w:hint="default"/>
      </w:rPr>
    </w:lvl>
  </w:abstractNum>
  <w:abstractNum w:abstractNumId="7" w15:restartNumberingAfterBreak="0">
    <w:nsid w:val="FFFFFF83"/>
    <w:multiLevelType w:val="singleLevel"/>
    <w:tmpl w:val="9ACCF07C"/>
    <w:lvl w:ilvl="0">
      <w:start w:val="31"/>
      <w:numFmt w:val="bullet"/>
      <w:pStyle w:val="ListBullet2"/>
      <w:lvlText w:val="–"/>
      <w:lvlJc w:val="left"/>
      <w:pPr>
        <w:ind w:left="643" w:hanging="360"/>
      </w:pPr>
      <w:rPr>
        <w:rFonts w:ascii="Arial" w:eastAsia="Times New Roman" w:hAnsi="Arial" w:hint="default"/>
      </w:rPr>
    </w:lvl>
  </w:abstractNum>
  <w:abstractNum w:abstractNumId="8" w15:restartNumberingAfterBreak="0">
    <w:nsid w:val="FFFFFF88"/>
    <w:multiLevelType w:val="singleLevel"/>
    <w:tmpl w:val="B9965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A8F9A2"/>
    <w:lvl w:ilvl="0">
      <w:start w:val="31"/>
      <w:numFmt w:val="bullet"/>
      <w:pStyle w:val="ListBullet"/>
      <w:lvlText w:val="–"/>
      <w:lvlJc w:val="left"/>
      <w:pPr>
        <w:ind w:left="360" w:hanging="360"/>
      </w:pPr>
      <w:rPr>
        <w:rFonts w:ascii="Arial" w:eastAsia="Times New Roman" w:hAnsi="Arial" w:hint="default"/>
      </w:rPr>
    </w:lvl>
  </w:abstractNum>
  <w:abstractNum w:abstractNumId="10" w15:restartNumberingAfterBreak="0">
    <w:nsid w:val="06CC62D2"/>
    <w:multiLevelType w:val="singleLevel"/>
    <w:tmpl w:val="15BC518C"/>
    <w:lvl w:ilvl="0">
      <w:start w:val="1"/>
      <w:numFmt w:val="lowerLetter"/>
      <w:lvlText w:val="%1."/>
      <w:lvlJc w:val="left"/>
      <w:pPr>
        <w:tabs>
          <w:tab w:val="num" w:pos="680"/>
        </w:tabs>
        <w:ind w:left="357" w:hanging="357"/>
      </w:pPr>
      <w:rPr>
        <w:rFonts w:hint="default"/>
      </w:rPr>
    </w:lvl>
  </w:abstractNum>
  <w:abstractNum w:abstractNumId="11" w15:restartNumberingAfterBreak="0">
    <w:nsid w:val="0C0D02E5"/>
    <w:multiLevelType w:val="hybridMultilevel"/>
    <w:tmpl w:val="EB1042F6"/>
    <w:lvl w:ilvl="0" w:tplc="E1AAF8DE">
      <w:start w:val="1"/>
      <w:numFmt w:val="lowerRoman"/>
      <w:pStyle w:val="NumerallistBold"/>
      <w:lvlText w:val="%1."/>
      <w:lvlJc w:val="left"/>
      <w:pPr>
        <w:ind w:left="425" w:hanging="42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7F24AD3"/>
    <w:multiLevelType w:val="multilevel"/>
    <w:tmpl w:val="2EE0A220"/>
    <w:styleLink w:val="b17legalnumberedlist"/>
    <w:lvl w:ilvl="0">
      <w:start w:val="1"/>
      <w:numFmt w:val="decimal"/>
      <w:lvlText w:val="%1."/>
      <w:lvlJc w:val="left"/>
      <w:pPr>
        <w:ind w:left="709" w:hanging="709"/>
      </w:pPr>
      <w:rPr>
        <w:rFonts w:ascii="Noto Sans" w:hAnsi="Noto Sans" w:hint="default"/>
        <w:b/>
        <w:i w:val="0"/>
        <w:sz w:val="19"/>
        <w:u w:color="000000" w:themeColor="text1"/>
      </w:rPr>
    </w:lvl>
    <w:lvl w:ilvl="1">
      <w:start w:val="1"/>
      <w:numFmt w:val="decimal"/>
      <w:lvlText w:val="%1.%2"/>
      <w:lvlJc w:val="left"/>
      <w:pPr>
        <w:ind w:left="709" w:hanging="709"/>
      </w:pPr>
      <w:rPr>
        <w:rFonts w:ascii="Noto Sans" w:hAnsi="Noto Sans" w:hint="default"/>
        <w:b w:val="0"/>
        <w:i w:val="0"/>
        <w:sz w:val="19"/>
        <w:u w:color="000000" w:themeColor="text1"/>
      </w:rPr>
    </w:lvl>
    <w:lvl w:ilvl="2">
      <w:start w:val="1"/>
      <w:numFmt w:val="decimal"/>
      <w:lvlText w:val="%1.%2.%3"/>
      <w:lvlJc w:val="left"/>
      <w:pPr>
        <w:ind w:left="709" w:hanging="709"/>
      </w:pPr>
      <w:rPr>
        <w:rFonts w:ascii="Noto Sans" w:hAnsi="Noto Sans" w:hint="default"/>
        <w:b w:val="0"/>
        <w:i w:val="0"/>
        <w:sz w:val="19"/>
        <w:u w:color="000000" w:themeColor="text1"/>
      </w:rPr>
    </w:lvl>
    <w:lvl w:ilvl="3">
      <w:start w:val="1"/>
      <w:numFmt w:val="decimal"/>
      <w:lvlText w:val="%1.%2.%3.%4."/>
      <w:lvlJc w:val="left"/>
      <w:pPr>
        <w:ind w:left="3515" w:hanging="1247"/>
      </w:pPr>
      <w:rPr>
        <w:rFonts w:hint="default"/>
      </w:rPr>
    </w:lvl>
    <w:lvl w:ilvl="4">
      <w:start w:val="1"/>
      <w:numFmt w:val="decimal"/>
      <w:lvlText w:val="%1.%2.%3.%4.%5."/>
      <w:lvlJc w:val="left"/>
      <w:pPr>
        <w:ind w:left="2693" w:hanging="425"/>
      </w:pPr>
      <w:rPr>
        <w:rFonts w:hint="default"/>
      </w:rPr>
    </w:lvl>
    <w:lvl w:ilvl="5">
      <w:start w:val="1"/>
      <w:numFmt w:val="decimal"/>
      <w:lvlText w:val="%1.%2.%3.%4.%5.%6."/>
      <w:lvlJc w:val="left"/>
      <w:pPr>
        <w:ind w:left="3260" w:hanging="425"/>
      </w:pPr>
      <w:rPr>
        <w:rFonts w:hint="default"/>
      </w:rPr>
    </w:lvl>
    <w:lvl w:ilvl="6">
      <w:start w:val="1"/>
      <w:numFmt w:val="decimal"/>
      <w:lvlText w:val="%1.%2.%3.%4.%5.%6.%7."/>
      <w:lvlJc w:val="left"/>
      <w:pPr>
        <w:ind w:left="3827" w:hanging="425"/>
      </w:pPr>
      <w:rPr>
        <w:rFonts w:hint="default"/>
      </w:rPr>
    </w:lvl>
    <w:lvl w:ilvl="7">
      <w:start w:val="1"/>
      <w:numFmt w:val="decimal"/>
      <w:lvlText w:val="%1.%2.%3.%4.%5.%6.%7.%8."/>
      <w:lvlJc w:val="left"/>
      <w:pPr>
        <w:ind w:left="4394" w:hanging="425"/>
      </w:pPr>
      <w:rPr>
        <w:rFonts w:hint="default"/>
      </w:rPr>
    </w:lvl>
    <w:lvl w:ilvl="8">
      <w:start w:val="1"/>
      <w:numFmt w:val="decimal"/>
      <w:lvlText w:val="%1.%2.%3.%4.%5.%6.%7.%8.%9."/>
      <w:lvlJc w:val="left"/>
      <w:pPr>
        <w:ind w:left="4961" w:hanging="425"/>
      </w:pPr>
      <w:rPr>
        <w:rFonts w:hint="default"/>
      </w:rPr>
    </w:lvl>
  </w:abstractNum>
  <w:abstractNum w:abstractNumId="13" w15:restartNumberingAfterBreak="0">
    <w:nsid w:val="297C26D5"/>
    <w:multiLevelType w:val="singleLevel"/>
    <w:tmpl w:val="72FEDCCA"/>
    <w:lvl w:ilvl="0">
      <w:start w:val="1"/>
      <w:numFmt w:val="decimal"/>
      <w:lvlText w:val="%1."/>
      <w:lvlJc w:val="left"/>
      <w:pPr>
        <w:ind w:left="360" w:hanging="360"/>
      </w:pPr>
      <w:rPr>
        <w:rFonts w:ascii="Noto Sans" w:hAnsi="Noto Sans" w:hint="default"/>
        <w:b/>
        <w:i w:val="0"/>
        <w:sz w:val="20"/>
        <w:szCs w:val="20"/>
      </w:rPr>
    </w:lvl>
  </w:abstractNum>
  <w:abstractNum w:abstractNumId="14" w15:restartNumberingAfterBreak="0">
    <w:nsid w:val="2A023F42"/>
    <w:multiLevelType w:val="hybridMultilevel"/>
    <w:tmpl w:val="4B767612"/>
    <w:lvl w:ilvl="0" w:tplc="27B0E32A">
      <w:start w:val="1"/>
      <w:numFmt w:val="lowerLetter"/>
      <w:pStyle w:val="LetteredlistRegular"/>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496058"/>
    <w:multiLevelType w:val="hybridMultilevel"/>
    <w:tmpl w:val="B702625E"/>
    <w:lvl w:ilvl="0" w:tplc="103C3A56">
      <w:start w:val="1"/>
      <w:numFmt w:val="bullet"/>
      <w:lvlText w:val="–"/>
      <w:lvlJc w:val="left"/>
      <w:pPr>
        <w:tabs>
          <w:tab w:val="num" w:pos="720"/>
        </w:tabs>
        <w:ind w:left="720" w:hanging="360"/>
      </w:pPr>
      <w:rPr>
        <w:rFonts w:ascii="Noto Sans" w:hAnsi="Noto Sans" w:hint="default"/>
      </w:rPr>
    </w:lvl>
    <w:lvl w:ilvl="1" w:tplc="6F92B45E" w:tentative="1">
      <w:start w:val="1"/>
      <w:numFmt w:val="bullet"/>
      <w:lvlText w:val="–"/>
      <w:lvlJc w:val="left"/>
      <w:pPr>
        <w:tabs>
          <w:tab w:val="num" w:pos="1440"/>
        </w:tabs>
        <w:ind w:left="1440" w:hanging="360"/>
      </w:pPr>
      <w:rPr>
        <w:rFonts w:ascii="Noto Sans" w:hAnsi="Noto Sans" w:hint="default"/>
      </w:rPr>
    </w:lvl>
    <w:lvl w:ilvl="2" w:tplc="2926F9E8" w:tentative="1">
      <w:start w:val="1"/>
      <w:numFmt w:val="bullet"/>
      <w:lvlText w:val="–"/>
      <w:lvlJc w:val="left"/>
      <w:pPr>
        <w:tabs>
          <w:tab w:val="num" w:pos="2160"/>
        </w:tabs>
        <w:ind w:left="2160" w:hanging="360"/>
      </w:pPr>
      <w:rPr>
        <w:rFonts w:ascii="Noto Sans" w:hAnsi="Noto Sans" w:hint="default"/>
      </w:rPr>
    </w:lvl>
    <w:lvl w:ilvl="3" w:tplc="D4DE02D8" w:tentative="1">
      <w:start w:val="1"/>
      <w:numFmt w:val="bullet"/>
      <w:lvlText w:val="–"/>
      <w:lvlJc w:val="left"/>
      <w:pPr>
        <w:tabs>
          <w:tab w:val="num" w:pos="2880"/>
        </w:tabs>
        <w:ind w:left="2880" w:hanging="360"/>
      </w:pPr>
      <w:rPr>
        <w:rFonts w:ascii="Noto Sans" w:hAnsi="Noto Sans" w:hint="default"/>
      </w:rPr>
    </w:lvl>
    <w:lvl w:ilvl="4" w:tplc="5EDEE34A" w:tentative="1">
      <w:start w:val="1"/>
      <w:numFmt w:val="bullet"/>
      <w:lvlText w:val="–"/>
      <w:lvlJc w:val="left"/>
      <w:pPr>
        <w:tabs>
          <w:tab w:val="num" w:pos="3600"/>
        </w:tabs>
        <w:ind w:left="3600" w:hanging="360"/>
      </w:pPr>
      <w:rPr>
        <w:rFonts w:ascii="Noto Sans" w:hAnsi="Noto Sans" w:hint="default"/>
      </w:rPr>
    </w:lvl>
    <w:lvl w:ilvl="5" w:tplc="15AA9EF8" w:tentative="1">
      <w:start w:val="1"/>
      <w:numFmt w:val="bullet"/>
      <w:lvlText w:val="–"/>
      <w:lvlJc w:val="left"/>
      <w:pPr>
        <w:tabs>
          <w:tab w:val="num" w:pos="4320"/>
        </w:tabs>
        <w:ind w:left="4320" w:hanging="360"/>
      </w:pPr>
      <w:rPr>
        <w:rFonts w:ascii="Noto Sans" w:hAnsi="Noto Sans" w:hint="default"/>
      </w:rPr>
    </w:lvl>
    <w:lvl w:ilvl="6" w:tplc="13DC1DD0" w:tentative="1">
      <w:start w:val="1"/>
      <w:numFmt w:val="bullet"/>
      <w:lvlText w:val="–"/>
      <w:lvlJc w:val="left"/>
      <w:pPr>
        <w:tabs>
          <w:tab w:val="num" w:pos="5040"/>
        </w:tabs>
        <w:ind w:left="5040" w:hanging="360"/>
      </w:pPr>
      <w:rPr>
        <w:rFonts w:ascii="Noto Sans" w:hAnsi="Noto Sans" w:hint="default"/>
      </w:rPr>
    </w:lvl>
    <w:lvl w:ilvl="7" w:tplc="1E1EAB28" w:tentative="1">
      <w:start w:val="1"/>
      <w:numFmt w:val="bullet"/>
      <w:lvlText w:val="–"/>
      <w:lvlJc w:val="left"/>
      <w:pPr>
        <w:tabs>
          <w:tab w:val="num" w:pos="5760"/>
        </w:tabs>
        <w:ind w:left="5760" w:hanging="360"/>
      </w:pPr>
      <w:rPr>
        <w:rFonts w:ascii="Noto Sans" w:hAnsi="Noto Sans" w:hint="default"/>
      </w:rPr>
    </w:lvl>
    <w:lvl w:ilvl="8" w:tplc="9DFC4278" w:tentative="1">
      <w:start w:val="1"/>
      <w:numFmt w:val="bullet"/>
      <w:lvlText w:val="–"/>
      <w:lvlJc w:val="left"/>
      <w:pPr>
        <w:tabs>
          <w:tab w:val="num" w:pos="6480"/>
        </w:tabs>
        <w:ind w:left="6480" w:hanging="360"/>
      </w:pPr>
      <w:rPr>
        <w:rFonts w:ascii="Noto Sans" w:hAnsi="Noto Sans" w:hint="default"/>
      </w:rPr>
    </w:lvl>
  </w:abstractNum>
  <w:abstractNum w:abstractNumId="16" w15:restartNumberingAfterBreak="0">
    <w:nsid w:val="40EE3C1F"/>
    <w:multiLevelType w:val="hybridMultilevel"/>
    <w:tmpl w:val="E9A4CD40"/>
    <w:lvl w:ilvl="0" w:tplc="95F69FC8">
      <w:start w:val="1"/>
      <w:numFmt w:val="lowerRoman"/>
      <w:pStyle w:val="NumerallistRegular"/>
      <w:lvlText w:val="%1."/>
      <w:lvlJc w:val="left"/>
      <w:pPr>
        <w:ind w:left="425" w:hanging="42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3B2480C"/>
    <w:multiLevelType w:val="singleLevel"/>
    <w:tmpl w:val="1FDCA25A"/>
    <w:lvl w:ilvl="0">
      <w:start w:val="1"/>
      <w:numFmt w:val="bullet"/>
      <w:pStyle w:val="BulletedtextRegular"/>
      <w:lvlText w:val="–"/>
      <w:lvlJc w:val="left"/>
      <w:pPr>
        <w:ind w:left="425" w:hanging="425"/>
      </w:pPr>
      <w:rPr>
        <w:rFonts w:ascii="Arial" w:hAnsi="Arial" w:hint="default"/>
      </w:rPr>
    </w:lvl>
  </w:abstractNum>
  <w:abstractNum w:abstractNumId="18" w15:restartNumberingAfterBreak="0">
    <w:nsid w:val="4B6F2E1C"/>
    <w:multiLevelType w:val="multilevel"/>
    <w:tmpl w:val="7AC43B3A"/>
    <w:lvl w:ilvl="0">
      <w:start w:val="1"/>
      <w:numFmt w:val="decimal"/>
      <w:pStyle w:val="Multilevellist1"/>
      <w:lvlText w:val="%1."/>
      <w:lvlJc w:val="left"/>
      <w:pPr>
        <w:ind w:left="851" w:hanging="851"/>
      </w:pPr>
      <w:rPr>
        <w:rFonts w:hint="default"/>
      </w:rPr>
    </w:lvl>
    <w:lvl w:ilvl="1">
      <w:start w:val="1"/>
      <w:numFmt w:val="decimal"/>
      <w:pStyle w:val="Multilevellistlevel2"/>
      <w:lvlText w:val="%1.%2"/>
      <w:lvlJc w:val="left"/>
      <w:pPr>
        <w:ind w:left="851" w:hanging="851"/>
      </w:pPr>
      <w:rPr>
        <w:rFonts w:hint="default"/>
      </w:rPr>
    </w:lvl>
    <w:lvl w:ilvl="2">
      <w:start w:val="1"/>
      <w:numFmt w:val="decimal"/>
      <w:pStyle w:val="Multilevellistlevel3"/>
      <w:lvlText w:val="%1.%2.%3"/>
      <w:lvlJc w:val="left"/>
      <w:pPr>
        <w:ind w:left="851" w:hanging="851"/>
      </w:pPr>
      <w:rPr>
        <w:rFonts w:hint="default"/>
      </w:rPr>
    </w:lvl>
    <w:lvl w:ilvl="3">
      <w:start w:val="1"/>
      <w:numFmt w:val="decimal"/>
      <w:pStyle w:val="Multilevellistlevel4"/>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9" w15:restartNumberingAfterBreak="0">
    <w:nsid w:val="4D4470B5"/>
    <w:multiLevelType w:val="singleLevel"/>
    <w:tmpl w:val="78028784"/>
    <w:lvl w:ilvl="0">
      <w:start w:val="1"/>
      <w:numFmt w:val="decimal"/>
      <w:pStyle w:val="NumberedlistRegular"/>
      <w:lvlText w:val="%1."/>
      <w:lvlJc w:val="left"/>
      <w:pPr>
        <w:ind w:left="425" w:hanging="425"/>
      </w:pPr>
      <w:rPr>
        <w:rFonts w:hint="default"/>
      </w:rPr>
    </w:lvl>
  </w:abstractNum>
  <w:abstractNum w:abstractNumId="20" w15:restartNumberingAfterBreak="0">
    <w:nsid w:val="51C950BC"/>
    <w:multiLevelType w:val="multilevel"/>
    <w:tmpl w:val="C4044232"/>
    <w:lvl w:ilvl="0">
      <w:start w:val="1"/>
      <w:numFmt w:val="decimal"/>
      <w:lvlText w:val="Section %1"/>
      <w:lvlJc w:val="left"/>
      <w:pPr>
        <w:ind w:left="3828" w:hanging="2126"/>
      </w:pPr>
      <w:rPr>
        <w:rFonts w:hint="default"/>
        <w:color w:val="A446BA" w:themeColor="text2"/>
      </w:rPr>
    </w:lvl>
    <w:lvl w:ilvl="1">
      <w:start w:val="1"/>
      <w:numFmt w:val="decimal"/>
      <w:lvlText w:val="%1.%2"/>
      <w:lvlJc w:val="left"/>
      <w:pPr>
        <w:ind w:left="425" w:hanging="42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FA217FA"/>
    <w:multiLevelType w:val="multilevel"/>
    <w:tmpl w:val="8DA8E702"/>
    <w:lvl w:ilvl="0">
      <w:start w:val="1"/>
      <w:numFmt w:val="decimal"/>
      <w:lvlText w:val="Appendix %1"/>
      <w:lvlJc w:val="left"/>
      <w:pPr>
        <w:ind w:left="2552" w:hanging="255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807"/>
        </w:tabs>
        <w:ind w:left="2807" w:hanging="680"/>
      </w:pPr>
      <w:rPr>
        <w:rFonts w:hint="default"/>
      </w:rPr>
    </w:lvl>
    <w:lvl w:ilvl="2">
      <w:start w:val="1"/>
      <w:numFmt w:val="decimal"/>
      <w:lvlText w:val="%1.%2.%3"/>
      <w:lvlJc w:val="left"/>
      <w:pPr>
        <w:tabs>
          <w:tab w:val="num" w:pos="3207"/>
        </w:tabs>
        <w:ind w:left="2807" w:hanging="680"/>
      </w:pPr>
      <w:rPr>
        <w:rFonts w:hint="default"/>
      </w:rPr>
    </w:lvl>
    <w:lvl w:ilvl="3">
      <w:start w:val="1"/>
      <w:numFmt w:val="lowerRoman"/>
      <w:lvlText w:val="%4)"/>
      <w:lvlJc w:val="left"/>
      <w:pPr>
        <w:tabs>
          <w:tab w:val="num" w:pos="2694"/>
        </w:tabs>
        <w:ind w:left="2694" w:hanging="567"/>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isLgl/>
      <w:suff w:val="nothing"/>
      <w:lvlText w:val=""/>
      <w:lvlJc w:val="left"/>
      <w:pPr>
        <w:ind w:left="2694" w:hanging="567"/>
      </w:pPr>
      <w:rPr>
        <w:rFonts w:hint="default"/>
      </w:rPr>
    </w:lvl>
    <w:lvl w:ilvl="5">
      <w:start w:val="1"/>
      <w:numFmt w:val="decimal"/>
      <w:lvlText w:val="%1.%2.%3.%4.%5.%6"/>
      <w:lvlJc w:val="left"/>
      <w:pPr>
        <w:tabs>
          <w:tab w:val="num" w:pos="3279"/>
        </w:tabs>
        <w:ind w:left="3279" w:hanging="1152"/>
      </w:pPr>
      <w:rPr>
        <w:rFonts w:hint="default"/>
      </w:rPr>
    </w:lvl>
    <w:lvl w:ilvl="6">
      <w:start w:val="1"/>
      <w:numFmt w:val="none"/>
      <w:lvlText w:val=""/>
      <w:lvlJc w:val="left"/>
      <w:pPr>
        <w:tabs>
          <w:tab w:val="num" w:pos="3423"/>
        </w:tabs>
        <w:ind w:left="3423" w:hanging="1296"/>
      </w:pPr>
      <w:rPr>
        <w:rFonts w:hint="default"/>
      </w:rPr>
    </w:lvl>
    <w:lvl w:ilvl="7">
      <w:start w:val="1"/>
      <w:numFmt w:val="decimal"/>
      <w:lvlText w:val="%1.%2.%3.%4.%5.%6.%7.%8"/>
      <w:lvlJc w:val="left"/>
      <w:pPr>
        <w:tabs>
          <w:tab w:val="num" w:pos="3567"/>
        </w:tabs>
        <w:ind w:left="3567" w:hanging="1440"/>
      </w:pPr>
      <w:rPr>
        <w:rFonts w:hint="default"/>
      </w:rPr>
    </w:lvl>
    <w:lvl w:ilvl="8">
      <w:start w:val="1"/>
      <w:numFmt w:val="none"/>
      <w:lvlText w:val=""/>
      <w:lvlJc w:val="left"/>
      <w:pPr>
        <w:tabs>
          <w:tab w:val="num" w:pos="4962"/>
        </w:tabs>
        <w:ind w:left="4962" w:hanging="2835"/>
      </w:pPr>
      <w:rPr>
        <w:rFonts w:hint="default"/>
      </w:rPr>
    </w:lvl>
  </w:abstractNum>
  <w:abstractNum w:abstractNumId="22" w15:restartNumberingAfterBreak="0">
    <w:nsid w:val="715B7BBD"/>
    <w:multiLevelType w:val="hybridMultilevel"/>
    <w:tmpl w:val="5E9635DA"/>
    <w:lvl w:ilvl="0" w:tplc="68BA3B14">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2351C0"/>
    <w:multiLevelType w:val="hybridMultilevel"/>
    <w:tmpl w:val="32EACC82"/>
    <w:lvl w:ilvl="0" w:tplc="2BF6EAD4">
      <w:start w:val="31"/>
      <w:numFmt w:val="bullet"/>
      <w:pStyle w:val="Tabletext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40654F"/>
    <w:multiLevelType w:val="hybridMultilevel"/>
    <w:tmpl w:val="F4CA6970"/>
    <w:lvl w:ilvl="0" w:tplc="6EA07572">
      <w:start w:val="1"/>
      <w:numFmt w:val="bullet"/>
      <w:pStyle w:val="Sub-bulletedtex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B01E4B"/>
    <w:multiLevelType w:val="hybridMultilevel"/>
    <w:tmpl w:val="D3C4BBB4"/>
    <w:lvl w:ilvl="0" w:tplc="044E95A2">
      <w:start w:val="1"/>
      <w:numFmt w:val="lowerLetter"/>
      <w:pStyle w:val="LetteredlistBold"/>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9000F4"/>
    <w:multiLevelType w:val="hybridMultilevel"/>
    <w:tmpl w:val="5E08C598"/>
    <w:lvl w:ilvl="0" w:tplc="F968B7C2">
      <w:start w:val="1"/>
      <w:numFmt w:val="lowerLetter"/>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2806123">
    <w:abstractNumId w:val="9"/>
  </w:num>
  <w:num w:numId="2" w16cid:durableId="1077482466">
    <w:abstractNumId w:val="7"/>
  </w:num>
  <w:num w:numId="3" w16cid:durableId="467404019">
    <w:abstractNumId w:val="6"/>
  </w:num>
  <w:num w:numId="4" w16cid:durableId="404765174">
    <w:abstractNumId w:val="5"/>
  </w:num>
  <w:num w:numId="5" w16cid:durableId="1313488688">
    <w:abstractNumId w:val="4"/>
  </w:num>
  <w:num w:numId="6" w16cid:durableId="100271668">
    <w:abstractNumId w:val="17"/>
  </w:num>
  <w:num w:numId="7" w16cid:durableId="1595939290">
    <w:abstractNumId w:val="19"/>
  </w:num>
  <w:num w:numId="8" w16cid:durableId="1275870892">
    <w:abstractNumId w:val="13"/>
  </w:num>
  <w:num w:numId="9" w16cid:durableId="612178504">
    <w:abstractNumId w:val="16"/>
  </w:num>
  <w:num w:numId="10" w16cid:durableId="536938488">
    <w:abstractNumId w:val="11"/>
  </w:num>
  <w:num w:numId="11" w16cid:durableId="1160923921">
    <w:abstractNumId w:val="14"/>
  </w:num>
  <w:num w:numId="12" w16cid:durableId="117572224">
    <w:abstractNumId w:val="20"/>
  </w:num>
  <w:num w:numId="13" w16cid:durableId="2137329981">
    <w:abstractNumId w:val="25"/>
  </w:num>
  <w:num w:numId="14" w16cid:durableId="1721855778">
    <w:abstractNumId w:val="21"/>
  </w:num>
  <w:num w:numId="15" w16cid:durableId="113908630">
    <w:abstractNumId w:val="13"/>
  </w:num>
  <w:num w:numId="16" w16cid:durableId="2082099280">
    <w:abstractNumId w:val="19"/>
  </w:num>
  <w:num w:numId="17" w16cid:durableId="1407729630">
    <w:abstractNumId w:val="25"/>
  </w:num>
  <w:num w:numId="18" w16cid:durableId="1443497560">
    <w:abstractNumId w:val="14"/>
  </w:num>
  <w:num w:numId="19" w16cid:durableId="1618296394">
    <w:abstractNumId w:val="17"/>
  </w:num>
  <w:num w:numId="20" w16cid:durableId="130561703">
    <w:abstractNumId w:val="11"/>
  </w:num>
  <w:num w:numId="21" w16cid:durableId="1949774972">
    <w:abstractNumId w:val="16"/>
  </w:num>
  <w:num w:numId="22" w16cid:durableId="835729848">
    <w:abstractNumId w:val="20"/>
  </w:num>
  <w:num w:numId="23" w16cid:durableId="392042081">
    <w:abstractNumId w:val="23"/>
  </w:num>
  <w:num w:numId="24" w16cid:durableId="1507281871">
    <w:abstractNumId w:val="17"/>
  </w:num>
  <w:num w:numId="25" w16cid:durableId="1647391129">
    <w:abstractNumId w:val="21"/>
  </w:num>
  <w:num w:numId="26" w16cid:durableId="1342391015">
    <w:abstractNumId w:val="12"/>
  </w:num>
  <w:num w:numId="27" w16cid:durableId="1491756177">
    <w:abstractNumId w:val="24"/>
  </w:num>
  <w:num w:numId="28" w16cid:durableId="172451523">
    <w:abstractNumId w:val="8"/>
  </w:num>
  <w:num w:numId="29" w16cid:durableId="366488392">
    <w:abstractNumId w:val="3"/>
  </w:num>
  <w:num w:numId="30" w16cid:durableId="109328283">
    <w:abstractNumId w:val="2"/>
  </w:num>
  <w:num w:numId="31" w16cid:durableId="285356558">
    <w:abstractNumId w:val="1"/>
  </w:num>
  <w:num w:numId="32" w16cid:durableId="1290042224">
    <w:abstractNumId w:val="0"/>
  </w:num>
  <w:num w:numId="33" w16cid:durableId="4885215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75491439">
    <w:abstractNumId w:val="20"/>
  </w:num>
  <w:num w:numId="35" w16cid:durableId="1106388310">
    <w:abstractNumId w:val="18"/>
  </w:num>
  <w:num w:numId="36" w16cid:durableId="1421415432">
    <w:abstractNumId w:val="26"/>
  </w:num>
  <w:num w:numId="37" w16cid:durableId="787742933">
    <w:abstractNumId w:val="20"/>
  </w:num>
  <w:num w:numId="38" w16cid:durableId="737632976">
    <w:abstractNumId w:val="20"/>
  </w:num>
  <w:num w:numId="39" w16cid:durableId="877819785">
    <w:abstractNumId w:val="20"/>
  </w:num>
  <w:num w:numId="40" w16cid:durableId="1016613435">
    <w:abstractNumId w:val="10"/>
    <w:lvlOverride w:ilvl="0">
      <w:startOverride w:val="6"/>
    </w:lvlOverride>
  </w:num>
  <w:num w:numId="41" w16cid:durableId="10571981">
    <w:abstractNumId w:val="22"/>
  </w:num>
  <w:num w:numId="42" w16cid:durableId="673924818">
    <w:abstractNumId w:val="15"/>
  </w:num>
  <w:num w:numId="43" w16cid:durableId="1123620625">
    <w:abstractNumId w:val="23"/>
  </w:num>
  <w:num w:numId="44" w16cid:durableId="2046786535">
    <w:abstractNumId w:val="17"/>
  </w:num>
  <w:num w:numId="45" w16cid:durableId="1711370635">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F56"/>
    <w:rsid w:val="00000BBB"/>
    <w:rsid w:val="000011B2"/>
    <w:rsid w:val="00001AA8"/>
    <w:rsid w:val="000031BF"/>
    <w:rsid w:val="00003573"/>
    <w:rsid w:val="0000375A"/>
    <w:rsid w:val="00003D11"/>
    <w:rsid w:val="000066AB"/>
    <w:rsid w:val="00006AD1"/>
    <w:rsid w:val="00006F11"/>
    <w:rsid w:val="00007046"/>
    <w:rsid w:val="00007F4D"/>
    <w:rsid w:val="000117A5"/>
    <w:rsid w:val="000120F1"/>
    <w:rsid w:val="0001267C"/>
    <w:rsid w:val="00012EB8"/>
    <w:rsid w:val="00013CD9"/>
    <w:rsid w:val="00014018"/>
    <w:rsid w:val="0001403E"/>
    <w:rsid w:val="000155C2"/>
    <w:rsid w:val="00015DFD"/>
    <w:rsid w:val="00016394"/>
    <w:rsid w:val="000172FF"/>
    <w:rsid w:val="00020E55"/>
    <w:rsid w:val="00021024"/>
    <w:rsid w:val="00022C02"/>
    <w:rsid w:val="00025D1A"/>
    <w:rsid w:val="00026731"/>
    <w:rsid w:val="000311FB"/>
    <w:rsid w:val="00033B6A"/>
    <w:rsid w:val="000345B2"/>
    <w:rsid w:val="000374AB"/>
    <w:rsid w:val="00041658"/>
    <w:rsid w:val="00044619"/>
    <w:rsid w:val="00044F37"/>
    <w:rsid w:val="000470CE"/>
    <w:rsid w:val="0004770C"/>
    <w:rsid w:val="00047D5D"/>
    <w:rsid w:val="00051AFE"/>
    <w:rsid w:val="00052460"/>
    <w:rsid w:val="00053DE4"/>
    <w:rsid w:val="00056072"/>
    <w:rsid w:val="00056D6A"/>
    <w:rsid w:val="00057A42"/>
    <w:rsid w:val="00057BC9"/>
    <w:rsid w:val="00060D93"/>
    <w:rsid w:val="000613AD"/>
    <w:rsid w:val="0006152F"/>
    <w:rsid w:val="00062761"/>
    <w:rsid w:val="00062C8E"/>
    <w:rsid w:val="00062ECD"/>
    <w:rsid w:val="000652FB"/>
    <w:rsid w:val="0006657D"/>
    <w:rsid w:val="00066BFF"/>
    <w:rsid w:val="00067232"/>
    <w:rsid w:val="00067C96"/>
    <w:rsid w:val="0007333E"/>
    <w:rsid w:val="00073A5C"/>
    <w:rsid w:val="00076530"/>
    <w:rsid w:val="00085242"/>
    <w:rsid w:val="0008623E"/>
    <w:rsid w:val="00086792"/>
    <w:rsid w:val="00086EC2"/>
    <w:rsid w:val="00091247"/>
    <w:rsid w:val="00093647"/>
    <w:rsid w:val="000939FD"/>
    <w:rsid w:val="00094952"/>
    <w:rsid w:val="0009796F"/>
    <w:rsid w:val="000A012C"/>
    <w:rsid w:val="000A140C"/>
    <w:rsid w:val="000A3F5A"/>
    <w:rsid w:val="000A41E8"/>
    <w:rsid w:val="000A5750"/>
    <w:rsid w:val="000A71B3"/>
    <w:rsid w:val="000B1056"/>
    <w:rsid w:val="000B33D5"/>
    <w:rsid w:val="000B41B6"/>
    <w:rsid w:val="000B44F7"/>
    <w:rsid w:val="000B5185"/>
    <w:rsid w:val="000B545A"/>
    <w:rsid w:val="000B6560"/>
    <w:rsid w:val="000B6ABA"/>
    <w:rsid w:val="000C09CD"/>
    <w:rsid w:val="000C4793"/>
    <w:rsid w:val="000C4876"/>
    <w:rsid w:val="000C48F1"/>
    <w:rsid w:val="000C5914"/>
    <w:rsid w:val="000C5DFA"/>
    <w:rsid w:val="000D05B8"/>
    <w:rsid w:val="000D099A"/>
    <w:rsid w:val="000D0CA0"/>
    <w:rsid w:val="000D3B4F"/>
    <w:rsid w:val="000D5417"/>
    <w:rsid w:val="000D5429"/>
    <w:rsid w:val="000D67CD"/>
    <w:rsid w:val="000D7AD1"/>
    <w:rsid w:val="000E0B41"/>
    <w:rsid w:val="000E31CE"/>
    <w:rsid w:val="000E4302"/>
    <w:rsid w:val="000E74C9"/>
    <w:rsid w:val="000E77A1"/>
    <w:rsid w:val="000E7B69"/>
    <w:rsid w:val="000E7BF9"/>
    <w:rsid w:val="000F2A53"/>
    <w:rsid w:val="000F4368"/>
    <w:rsid w:val="000F61FA"/>
    <w:rsid w:val="000F638B"/>
    <w:rsid w:val="00101343"/>
    <w:rsid w:val="0010159F"/>
    <w:rsid w:val="001019D9"/>
    <w:rsid w:val="00102792"/>
    <w:rsid w:val="00103B62"/>
    <w:rsid w:val="00105004"/>
    <w:rsid w:val="001050D4"/>
    <w:rsid w:val="00110C75"/>
    <w:rsid w:val="0011206B"/>
    <w:rsid w:val="00113154"/>
    <w:rsid w:val="00113E2B"/>
    <w:rsid w:val="00115FCA"/>
    <w:rsid w:val="0011709D"/>
    <w:rsid w:val="00117130"/>
    <w:rsid w:val="001175A5"/>
    <w:rsid w:val="001176C9"/>
    <w:rsid w:val="00117814"/>
    <w:rsid w:val="00122363"/>
    <w:rsid w:val="0012247B"/>
    <w:rsid w:val="00124C11"/>
    <w:rsid w:val="00125307"/>
    <w:rsid w:val="00126CA6"/>
    <w:rsid w:val="00127693"/>
    <w:rsid w:val="0013085F"/>
    <w:rsid w:val="00131698"/>
    <w:rsid w:val="00131C6C"/>
    <w:rsid w:val="00131EC2"/>
    <w:rsid w:val="00132535"/>
    <w:rsid w:val="0013257C"/>
    <w:rsid w:val="00133724"/>
    <w:rsid w:val="00135CDB"/>
    <w:rsid w:val="00136166"/>
    <w:rsid w:val="00136A48"/>
    <w:rsid w:val="00143C0D"/>
    <w:rsid w:val="00144004"/>
    <w:rsid w:val="00147E57"/>
    <w:rsid w:val="00150110"/>
    <w:rsid w:val="00153577"/>
    <w:rsid w:val="0015678D"/>
    <w:rsid w:val="00156A61"/>
    <w:rsid w:val="0015762F"/>
    <w:rsid w:val="00160212"/>
    <w:rsid w:val="00160B89"/>
    <w:rsid w:val="00160E60"/>
    <w:rsid w:val="00165662"/>
    <w:rsid w:val="001658A5"/>
    <w:rsid w:val="00165FA4"/>
    <w:rsid w:val="00170529"/>
    <w:rsid w:val="00173380"/>
    <w:rsid w:val="00173927"/>
    <w:rsid w:val="001766BD"/>
    <w:rsid w:val="00176772"/>
    <w:rsid w:val="0017720C"/>
    <w:rsid w:val="00181010"/>
    <w:rsid w:val="00182329"/>
    <w:rsid w:val="0018264A"/>
    <w:rsid w:val="0018273E"/>
    <w:rsid w:val="00184EC9"/>
    <w:rsid w:val="00185669"/>
    <w:rsid w:val="00186DEB"/>
    <w:rsid w:val="00187867"/>
    <w:rsid w:val="00190131"/>
    <w:rsid w:val="00190513"/>
    <w:rsid w:val="001914CC"/>
    <w:rsid w:val="00191907"/>
    <w:rsid w:val="00191AA7"/>
    <w:rsid w:val="0019230D"/>
    <w:rsid w:val="001923FE"/>
    <w:rsid w:val="00194311"/>
    <w:rsid w:val="00194907"/>
    <w:rsid w:val="001950AD"/>
    <w:rsid w:val="001A0473"/>
    <w:rsid w:val="001A1ECF"/>
    <w:rsid w:val="001A2352"/>
    <w:rsid w:val="001A23FC"/>
    <w:rsid w:val="001A2E20"/>
    <w:rsid w:val="001A3924"/>
    <w:rsid w:val="001A3E3C"/>
    <w:rsid w:val="001A4092"/>
    <w:rsid w:val="001A444C"/>
    <w:rsid w:val="001A51FE"/>
    <w:rsid w:val="001B0D5D"/>
    <w:rsid w:val="001B497F"/>
    <w:rsid w:val="001B4A2A"/>
    <w:rsid w:val="001B6FBA"/>
    <w:rsid w:val="001B725E"/>
    <w:rsid w:val="001B784A"/>
    <w:rsid w:val="001C4A7E"/>
    <w:rsid w:val="001C4AC6"/>
    <w:rsid w:val="001C4C02"/>
    <w:rsid w:val="001C5000"/>
    <w:rsid w:val="001C6156"/>
    <w:rsid w:val="001C6E39"/>
    <w:rsid w:val="001C7A41"/>
    <w:rsid w:val="001D05FE"/>
    <w:rsid w:val="001D0876"/>
    <w:rsid w:val="001D1627"/>
    <w:rsid w:val="001D242A"/>
    <w:rsid w:val="001D2CBE"/>
    <w:rsid w:val="001D3725"/>
    <w:rsid w:val="001D48B5"/>
    <w:rsid w:val="001D5665"/>
    <w:rsid w:val="001D56B5"/>
    <w:rsid w:val="001D5CDE"/>
    <w:rsid w:val="001D69C2"/>
    <w:rsid w:val="001E1145"/>
    <w:rsid w:val="001E3265"/>
    <w:rsid w:val="001E3C26"/>
    <w:rsid w:val="001E3E47"/>
    <w:rsid w:val="001E696A"/>
    <w:rsid w:val="001E6E49"/>
    <w:rsid w:val="001F0732"/>
    <w:rsid w:val="001F0BA6"/>
    <w:rsid w:val="001F0D15"/>
    <w:rsid w:val="001F29F0"/>
    <w:rsid w:val="001F35C2"/>
    <w:rsid w:val="001F37FA"/>
    <w:rsid w:val="001F4AC5"/>
    <w:rsid w:val="001F4DB1"/>
    <w:rsid w:val="001F586A"/>
    <w:rsid w:val="001F5A8D"/>
    <w:rsid w:val="001F66A9"/>
    <w:rsid w:val="00200182"/>
    <w:rsid w:val="00202B52"/>
    <w:rsid w:val="002030CE"/>
    <w:rsid w:val="00203BB4"/>
    <w:rsid w:val="002045AD"/>
    <w:rsid w:val="002045CD"/>
    <w:rsid w:val="0020517D"/>
    <w:rsid w:val="0020570E"/>
    <w:rsid w:val="002061AF"/>
    <w:rsid w:val="0020663D"/>
    <w:rsid w:val="002067AE"/>
    <w:rsid w:val="002071E0"/>
    <w:rsid w:val="00207BBE"/>
    <w:rsid w:val="002106ED"/>
    <w:rsid w:val="0021118F"/>
    <w:rsid w:val="0021191F"/>
    <w:rsid w:val="00212B0E"/>
    <w:rsid w:val="00212FED"/>
    <w:rsid w:val="00214BF6"/>
    <w:rsid w:val="00215B52"/>
    <w:rsid w:val="00217499"/>
    <w:rsid w:val="002207B2"/>
    <w:rsid w:val="00224392"/>
    <w:rsid w:val="00226117"/>
    <w:rsid w:val="00230355"/>
    <w:rsid w:val="00232B2C"/>
    <w:rsid w:val="0023392D"/>
    <w:rsid w:val="00234370"/>
    <w:rsid w:val="002345DF"/>
    <w:rsid w:val="0023509A"/>
    <w:rsid w:val="00236053"/>
    <w:rsid w:val="002360B9"/>
    <w:rsid w:val="00236136"/>
    <w:rsid w:val="0023654B"/>
    <w:rsid w:val="00237B40"/>
    <w:rsid w:val="002422D1"/>
    <w:rsid w:val="00242A67"/>
    <w:rsid w:val="00243BAE"/>
    <w:rsid w:val="00244A21"/>
    <w:rsid w:val="0024617D"/>
    <w:rsid w:val="00247837"/>
    <w:rsid w:val="0025123E"/>
    <w:rsid w:val="00251481"/>
    <w:rsid w:val="00251540"/>
    <w:rsid w:val="00253684"/>
    <w:rsid w:val="002541D8"/>
    <w:rsid w:val="00255BD1"/>
    <w:rsid w:val="00260CCF"/>
    <w:rsid w:val="00261A9F"/>
    <w:rsid w:val="00261D48"/>
    <w:rsid w:val="00261FA2"/>
    <w:rsid w:val="00262EBB"/>
    <w:rsid w:val="002644A8"/>
    <w:rsid w:val="002652C6"/>
    <w:rsid w:val="002658D6"/>
    <w:rsid w:val="002675CD"/>
    <w:rsid w:val="00270854"/>
    <w:rsid w:val="00270FF9"/>
    <w:rsid w:val="00273856"/>
    <w:rsid w:val="00274546"/>
    <w:rsid w:val="002745E6"/>
    <w:rsid w:val="00274F9F"/>
    <w:rsid w:val="00275704"/>
    <w:rsid w:val="00281D5F"/>
    <w:rsid w:val="00282DE8"/>
    <w:rsid w:val="00283010"/>
    <w:rsid w:val="00285D8B"/>
    <w:rsid w:val="00287C01"/>
    <w:rsid w:val="002904BF"/>
    <w:rsid w:val="00291EFC"/>
    <w:rsid w:val="00291FBC"/>
    <w:rsid w:val="0029401F"/>
    <w:rsid w:val="002947AF"/>
    <w:rsid w:val="00294A48"/>
    <w:rsid w:val="00295E7B"/>
    <w:rsid w:val="00297003"/>
    <w:rsid w:val="002A07EE"/>
    <w:rsid w:val="002A0A80"/>
    <w:rsid w:val="002A1B97"/>
    <w:rsid w:val="002A3AD0"/>
    <w:rsid w:val="002A5578"/>
    <w:rsid w:val="002A5ACE"/>
    <w:rsid w:val="002A67D8"/>
    <w:rsid w:val="002A6F3F"/>
    <w:rsid w:val="002A73C3"/>
    <w:rsid w:val="002A7782"/>
    <w:rsid w:val="002A7A47"/>
    <w:rsid w:val="002B0A37"/>
    <w:rsid w:val="002B169E"/>
    <w:rsid w:val="002B1C49"/>
    <w:rsid w:val="002B6056"/>
    <w:rsid w:val="002B6112"/>
    <w:rsid w:val="002B7035"/>
    <w:rsid w:val="002C0DB8"/>
    <w:rsid w:val="002C0E0D"/>
    <w:rsid w:val="002C1CCF"/>
    <w:rsid w:val="002C3C9B"/>
    <w:rsid w:val="002C423C"/>
    <w:rsid w:val="002C6C02"/>
    <w:rsid w:val="002C78EC"/>
    <w:rsid w:val="002D4176"/>
    <w:rsid w:val="002D432F"/>
    <w:rsid w:val="002D5EE2"/>
    <w:rsid w:val="002D5FC4"/>
    <w:rsid w:val="002D6067"/>
    <w:rsid w:val="002D64AE"/>
    <w:rsid w:val="002D67BD"/>
    <w:rsid w:val="002D7184"/>
    <w:rsid w:val="002E1BA6"/>
    <w:rsid w:val="002E1BEB"/>
    <w:rsid w:val="002E3BFE"/>
    <w:rsid w:val="002E3FA7"/>
    <w:rsid w:val="002E4284"/>
    <w:rsid w:val="002E466D"/>
    <w:rsid w:val="002E5BED"/>
    <w:rsid w:val="002F060A"/>
    <w:rsid w:val="002F09A9"/>
    <w:rsid w:val="002F0B30"/>
    <w:rsid w:val="002F12FD"/>
    <w:rsid w:val="002F2A65"/>
    <w:rsid w:val="002F4DA3"/>
    <w:rsid w:val="002F4F12"/>
    <w:rsid w:val="002F74D8"/>
    <w:rsid w:val="002F7A2F"/>
    <w:rsid w:val="002F7A5A"/>
    <w:rsid w:val="002F7E41"/>
    <w:rsid w:val="00300E37"/>
    <w:rsid w:val="003021A1"/>
    <w:rsid w:val="00302C26"/>
    <w:rsid w:val="003032C4"/>
    <w:rsid w:val="00303BAA"/>
    <w:rsid w:val="0030460B"/>
    <w:rsid w:val="00304679"/>
    <w:rsid w:val="00306036"/>
    <w:rsid w:val="00306AB3"/>
    <w:rsid w:val="00310608"/>
    <w:rsid w:val="00310D63"/>
    <w:rsid w:val="00310EDC"/>
    <w:rsid w:val="00312933"/>
    <w:rsid w:val="00313713"/>
    <w:rsid w:val="003148F6"/>
    <w:rsid w:val="0031512C"/>
    <w:rsid w:val="003155DE"/>
    <w:rsid w:val="003164BD"/>
    <w:rsid w:val="0031660A"/>
    <w:rsid w:val="00322E5F"/>
    <w:rsid w:val="00323CCF"/>
    <w:rsid w:val="0032581F"/>
    <w:rsid w:val="00326AC1"/>
    <w:rsid w:val="0032796C"/>
    <w:rsid w:val="0033001E"/>
    <w:rsid w:val="00330C4F"/>
    <w:rsid w:val="00330ECD"/>
    <w:rsid w:val="00334352"/>
    <w:rsid w:val="003347E0"/>
    <w:rsid w:val="00337330"/>
    <w:rsid w:val="00340CF9"/>
    <w:rsid w:val="00340E01"/>
    <w:rsid w:val="00341E33"/>
    <w:rsid w:val="00342100"/>
    <w:rsid w:val="003452FA"/>
    <w:rsid w:val="00346D16"/>
    <w:rsid w:val="00347A94"/>
    <w:rsid w:val="0035142B"/>
    <w:rsid w:val="00351CEF"/>
    <w:rsid w:val="00351F41"/>
    <w:rsid w:val="00351FF8"/>
    <w:rsid w:val="00352146"/>
    <w:rsid w:val="00353C0D"/>
    <w:rsid w:val="00353EEA"/>
    <w:rsid w:val="00354C92"/>
    <w:rsid w:val="00356434"/>
    <w:rsid w:val="003565B4"/>
    <w:rsid w:val="003617E1"/>
    <w:rsid w:val="00361A28"/>
    <w:rsid w:val="00361D1C"/>
    <w:rsid w:val="00363985"/>
    <w:rsid w:val="00364F46"/>
    <w:rsid w:val="00365A78"/>
    <w:rsid w:val="00366130"/>
    <w:rsid w:val="00366DE0"/>
    <w:rsid w:val="00367B4F"/>
    <w:rsid w:val="00370140"/>
    <w:rsid w:val="0037076D"/>
    <w:rsid w:val="003711E2"/>
    <w:rsid w:val="00375A81"/>
    <w:rsid w:val="00376F3A"/>
    <w:rsid w:val="00377341"/>
    <w:rsid w:val="003817CA"/>
    <w:rsid w:val="00381830"/>
    <w:rsid w:val="00382A9B"/>
    <w:rsid w:val="00384AD6"/>
    <w:rsid w:val="003927E8"/>
    <w:rsid w:val="00394249"/>
    <w:rsid w:val="00394D04"/>
    <w:rsid w:val="00396EEB"/>
    <w:rsid w:val="003974C7"/>
    <w:rsid w:val="0039752B"/>
    <w:rsid w:val="003A0C38"/>
    <w:rsid w:val="003A20D4"/>
    <w:rsid w:val="003A3E32"/>
    <w:rsid w:val="003A40B7"/>
    <w:rsid w:val="003A446D"/>
    <w:rsid w:val="003A6D9D"/>
    <w:rsid w:val="003A7D83"/>
    <w:rsid w:val="003B00BA"/>
    <w:rsid w:val="003B0978"/>
    <w:rsid w:val="003B2277"/>
    <w:rsid w:val="003B2448"/>
    <w:rsid w:val="003B352A"/>
    <w:rsid w:val="003B37CC"/>
    <w:rsid w:val="003B50FB"/>
    <w:rsid w:val="003B52D9"/>
    <w:rsid w:val="003C065C"/>
    <w:rsid w:val="003C37ED"/>
    <w:rsid w:val="003C3F7A"/>
    <w:rsid w:val="003C46CE"/>
    <w:rsid w:val="003C4F9F"/>
    <w:rsid w:val="003C7254"/>
    <w:rsid w:val="003C7E4C"/>
    <w:rsid w:val="003D14FB"/>
    <w:rsid w:val="003D2CB5"/>
    <w:rsid w:val="003D2F05"/>
    <w:rsid w:val="003D43A5"/>
    <w:rsid w:val="003D48F0"/>
    <w:rsid w:val="003D5D0E"/>
    <w:rsid w:val="003D7212"/>
    <w:rsid w:val="003E06EE"/>
    <w:rsid w:val="003E0A82"/>
    <w:rsid w:val="003E1380"/>
    <w:rsid w:val="003E2B2A"/>
    <w:rsid w:val="003E323D"/>
    <w:rsid w:val="003E45EC"/>
    <w:rsid w:val="003E5316"/>
    <w:rsid w:val="003E56A5"/>
    <w:rsid w:val="003F0B25"/>
    <w:rsid w:val="003F1ABE"/>
    <w:rsid w:val="003F25ED"/>
    <w:rsid w:val="003F405E"/>
    <w:rsid w:val="003F4E45"/>
    <w:rsid w:val="003F6499"/>
    <w:rsid w:val="0040156E"/>
    <w:rsid w:val="0040443A"/>
    <w:rsid w:val="00405DA7"/>
    <w:rsid w:val="0040615F"/>
    <w:rsid w:val="00407890"/>
    <w:rsid w:val="004100B8"/>
    <w:rsid w:val="004115DF"/>
    <w:rsid w:val="00412401"/>
    <w:rsid w:val="004133D0"/>
    <w:rsid w:val="00413AF5"/>
    <w:rsid w:val="00413B9F"/>
    <w:rsid w:val="00413DA9"/>
    <w:rsid w:val="00416889"/>
    <w:rsid w:val="004177C8"/>
    <w:rsid w:val="00422A46"/>
    <w:rsid w:val="0042320E"/>
    <w:rsid w:val="00423642"/>
    <w:rsid w:val="004251C1"/>
    <w:rsid w:val="0042739D"/>
    <w:rsid w:val="00427800"/>
    <w:rsid w:val="00427BCC"/>
    <w:rsid w:val="0043145B"/>
    <w:rsid w:val="00432580"/>
    <w:rsid w:val="00433FCA"/>
    <w:rsid w:val="0043538C"/>
    <w:rsid w:val="00435A0E"/>
    <w:rsid w:val="00443C1A"/>
    <w:rsid w:val="00443FAB"/>
    <w:rsid w:val="004446F0"/>
    <w:rsid w:val="0044478A"/>
    <w:rsid w:val="004448D5"/>
    <w:rsid w:val="00444DA7"/>
    <w:rsid w:val="00445663"/>
    <w:rsid w:val="0044612A"/>
    <w:rsid w:val="00446F6F"/>
    <w:rsid w:val="00451346"/>
    <w:rsid w:val="00451A84"/>
    <w:rsid w:val="00453DFC"/>
    <w:rsid w:val="004551B7"/>
    <w:rsid w:val="00455435"/>
    <w:rsid w:val="0045715A"/>
    <w:rsid w:val="004622D1"/>
    <w:rsid w:val="00463AC1"/>
    <w:rsid w:val="0046623B"/>
    <w:rsid w:val="0046649D"/>
    <w:rsid w:val="0047034D"/>
    <w:rsid w:val="004712F2"/>
    <w:rsid w:val="00471939"/>
    <w:rsid w:val="00473CC3"/>
    <w:rsid w:val="00473F3E"/>
    <w:rsid w:val="00474F85"/>
    <w:rsid w:val="004807FD"/>
    <w:rsid w:val="00480AAA"/>
    <w:rsid w:val="00481E15"/>
    <w:rsid w:val="00485F32"/>
    <w:rsid w:val="004871BA"/>
    <w:rsid w:val="00491C31"/>
    <w:rsid w:val="0049385B"/>
    <w:rsid w:val="00494198"/>
    <w:rsid w:val="0049474E"/>
    <w:rsid w:val="004974DE"/>
    <w:rsid w:val="004977F0"/>
    <w:rsid w:val="004A00AA"/>
    <w:rsid w:val="004A2662"/>
    <w:rsid w:val="004A67AA"/>
    <w:rsid w:val="004A6834"/>
    <w:rsid w:val="004B1226"/>
    <w:rsid w:val="004B143B"/>
    <w:rsid w:val="004B1676"/>
    <w:rsid w:val="004B3749"/>
    <w:rsid w:val="004B375F"/>
    <w:rsid w:val="004C1E60"/>
    <w:rsid w:val="004C4B9D"/>
    <w:rsid w:val="004C4C33"/>
    <w:rsid w:val="004D05CE"/>
    <w:rsid w:val="004D14FE"/>
    <w:rsid w:val="004D2334"/>
    <w:rsid w:val="004D385C"/>
    <w:rsid w:val="004E32DC"/>
    <w:rsid w:val="004E4F03"/>
    <w:rsid w:val="004E59AB"/>
    <w:rsid w:val="004E6F9A"/>
    <w:rsid w:val="004F107E"/>
    <w:rsid w:val="004F2310"/>
    <w:rsid w:val="004F27AE"/>
    <w:rsid w:val="004F3396"/>
    <w:rsid w:val="004F3462"/>
    <w:rsid w:val="004F3C71"/>
    <w:rsid w:val="004F4526"/>
    <w:rsid w:val="004F6427"/>
    <w:rsid w:val="004F6F5D"/>
    <w:rsid w:val="004F789D"/>
    <w:rsid w:val="00501848"/>
    <w:rsid w:val="00501DC3"/>
    <w:rsid w:val="0050337D"/>
    <w:rsid w:val="00503F3F"/>
    <w:rsid w:val="0050420A"/>
    <w:rsid w:val="00505BB8"/>
    <w:rsid w:val="005062D4"/>
    <w:rsid w:val="005071A1"/>
    <w:rsid w:val="005126D5"/>
    <w:rsid w:val="00514378"/>
    <w:rsid w:val="00514984"/>
    <w:rsid w:val="005174BE"/>
    <w:rsid w:val="00521549"/>
    <w:rsid w:val="00521F4F"/>
    <w:rsid w:val="005234AF"/>
    <w:rsid w:val="0052404E"/>
    <w:rsid w:val="005245EE"/>
    <w:rsid w:val="005279E3"/>
    <w:rsid w:val="00530359"/>
    <w:rsid w:val="00531213"/>
    <w:rsid w:val="005324B8"/>
    <w:rsid w:val="00535651"/>
    <w:rsid w:val="00535994"/>
    <w:rsid w:val="00535FD1"/>
    <w:rsid w:val="005366B0"/>
    <w:rsid w:val="005374AD"/>
    <w:rsid w:val="0053778E"/>
    <w:rsid w:val="00540DC6"/>
    <w:rsid w:val="00542D8E"/>
    <w:rsid w:val="00543888"/>
    <w:rsid w:val="005439D4"/>
    <w:rsid w:val="00543CFC"/>
    <w:rsid w:val="005464F6"/>
    <w:rsid w:val="00546540"/>
    <w:rsid w:val="0054759A"/>
    <w:rsid w:val="00550DC0"/>
    <w:rsid w:val="0055247C"/>
    <w:rsid w:val="00552B1C"/>
    <w:rsid w:val="005535B6"/>
    <w:rsid w:val="00553AA1"/>
    <w:rsid w:val="0055431D"/>
    <w:rsid w:val="005546BE"/>
    <w:rsid w:val="00556B02"/>
    <w:rsid w:val="00557AA4"/>
    <w:rsid w:val="005620C1"/>
    <w:rsid w:val="0056289A"/>
    <w:rsid w:val="005643B1"/>
    <w:rsid w:val="00566C84"/>
    <w:rsid w:val="00566E04"/>
    <w:rsid w:val="00571260"/>
    <w:rsid w:val="005726E2"/>
    <w:rsid w:val="00572C78"/>
    <w:rsid w:val="005730E2"/>
    <w:rsid w:val="005735B5"/>
    <w:rsid w:val="00573E6C"/>
    <w:rsid w:val="005740BC"/>
    <w:rsid w:val="00574DA7"/>
    <w:rsid w:val="00574FC8"/>
    <w:rsid w:val="00576E76"/>
    <w:rsid w:val="00577226"/>
    <w:rsid w:val="0057770F"/>
    <w:rsid w:val="00577762"/>
    <w:rsid w:val="0058124A"/>
    <w:rsid w:val="005814AE"/>
    <w:rsid w:val="005842C2"/>
    <w:rsid w:val="005844EE"/>
    <w:rsid w:val="005861F6"/>
    <w:rsid w:val="005868B3"/>
    <w:rsid w:val="005874A8"/>
    <w:rsid w:val="00590BE3"/>
    <w:rsid w:val="0059103B"/>
    <w:rsid w:val="005914B3"/>
    <w:rsid w:val="00592184"/>
    <w:rsid w:val="00594CE9"/>
    <w:rsid w:val="005958E2"/>
    <w:rsid w:val="0059592F"/>
    <w:rsid w:val="00595B72"/>
    <w:rsid w:val="005969EA"/>
    <w:rsid w:val="00596AF4"/>
    <w:rsid w:val="005A1002"/>
    <w:rsid w:val="005A1AC5"/>
    <w:rsid w:val="005A2E6C"/>
    <w:rsid w:val="005A4B5A"/>
    <w:rsid w:val="005A4D23"/>
    <w:rsid w:val="005A7F7A"/>
    <w:rsid w:val="005A7F9A"/>
    <w:rsid w:val="005B0158"/>
    <w:rsid w:val="005B03FD"/>
    <w:rsid w:val="005B11F1"/>
    <w:rsid w:val="005B1449"/>
    <w:rsid w:val="005B1D0F"/>
    <w:rsid w:val="005B2A9E"/>
    <w:rsid w:val="005B4438"/>
    <w:rsid w:val="005B45E5"/>
    <w:rsid w:val="005B4655"/>
    <w:rsid w:val="005B67EA"/>
    <w:rsid w:val="005B6939"/>
    <w:rsid w:val="005C0F02"/>
    <w:rsid w:val="005C1693"/>
    <w:rsid w:val="005C3571"/>
    <w:rsid w:val="005C5FDA"/>
    <w:rsid w:val="005C664A"/>
    <w:rsid w:val="005C7609"/>
    <w:rsid w:val="005D3959"/>
    <w:rsid w:val="005D493B"/>
    <w:rsid w:val="005D4B12"/>
    <w:rsid w:val="005D59C3"/>
    <w:rsid w:val="005D5BA7"/>
    <w:rsid w:val="005E0440"/>
    <w:rsid w:val="005E05B9"/>
    <w:rsid w:val="005E0B91"/>
    <w:rsid w:val="005E3FBD"/>
    <w:rsid w:val="005E4314"/>
    <w:rsid w:val="005E7D66"/>
    <w:rsid w:val="005F0E66"/>
    <w:rsid w:val="005F2731"/>
    <w:rsid w:val="005F2DF4"/>
    <w:rsid w:val="005F3A44"/>
    <w:rsid w:val="005F4CBA"/>
    <w:rsid w:val="005F4DBF"/>
    <w:rsid w:val="005F500B"/>
    <w:rsid w:val="005F5CA8"/>
    <w:rsid w:val="005F6652"/>
    <w:rsid w:val="005F7CFF"/>
    <w:rsid w:val="005F7F3D"/>
    <w:rsid w:val="00603B66"/>
    <w:rsid w:val="006040EA"/>
    <w:rsid w:val="006048DA"/>
    <w:rsid w:val="0060493B"/>
    <w:rsid w:val="00610241"/>
    <w:rsid w:val="00611151"/>
    <w:rsid w:val="006139C9"/>
    <w:rsid w:val="00617938"/>
    <w:rsid w:val="00617C98"/>
    <w:rsid w:val="00620414"/>
    <w:rsid w:val="0062114D"/>
    <w:rsid w:val="006240C3"/>
    <w:rsid w:val="0062582E"/>
    <w:rsid w:val="00626240"/>
    <w:rsid w:val="006265DD"/>
    <w:rsid w:val="00626DB0"/>
    <w:rsid w:val="00627298"/>
    <w:rsid w:val="00627A32"/>
    <w:rsid w:val="0063085E"/>
    <w:rsid w:val="00630E6F"/>
    <w:rsid w:val="00631676"/>
    <w:rsid w:val="006321F1"/>
    <w:rsid w:val="006323D9"/>
    <w:rsid w:val="00634810"/>
    <w:rsid w:val="00636DBC"/>
    <w:rsid w:val="00636F65"/>
    <w:rsid w:val="0063768B"/>
    <w:rsid w:val="00637B42"/>
    <w:rsid w:val="00637EBC"/>
    <w:rsid w:val="00640D21"/>
    <w:rsid w:val="00641482"/>
    <w:rsid w:val="00641CF6"/>
    <w:rsid w:val="00642BAB"/>
    <w:rsid w:val="00644F77"/>
    <w:rsid w:val="00646571"/>
    <w:rsid w:val="00646854"/>
    <w:rsid w:val="006505FC"/>
    <w:rsid w:val="00650BE3"/>
    <w:rsid w:val="00651E88"/>
    <w:rsid w:val="006524EB"/>
    <w:rsid w:val="00652F60"/>
    <w:rsid w:val="00654BA1"/>
    <w:rsid w:val="0065793A"/>
    <w:rsid w:val="006608F0"/>
    <w:rsid w:val="00661505"/>
    <w:rsid w:val="006615EC"/>
    <w:rsid w:val="00661F14"/>
    <w:rsid w:val="006621DD"/>
    <w:rsid w:val="00662F2C"/>
    <w:rsid w:val="006634DB"/>
    <w:rsid w:val="00664470"/>
    <w:rsid w:val="00666F49"/>
    <w:rsid w:val="00667E95"/>
    <w:rsid w:val="006707C9"/>
    <w:rsid w:val="00671347"/>
    <w:rsid w:val="00672110"/>
    <w:rsid w:val="00672B1D"/>
    <w:rsid w:val="006762A6"/>
    <w:rsid w:val="00676723"/>
    <w:rsid w:val="0068074A"/>
    <w:rsid w:val="00680AA3"/>
    <w:rsid w:val="00683B1E"/>
    <w:rsid w:val="0068597C"/>
    <w:rsid w:val="00687A64"/>
    <w:rsid w:val="006906B5"/>
    <w:rsid w:val="00691A2A"/>
    <w:rsid w:val="00691B79"/>
    <w:rsid w:val="00691DC6"/>
    <w:rsid w:val="00694034"/>
    <w:rsid w:val="00695132"/>
    <w:rsid w:val="00696387"/>
    <w:rsid w:val="0069712B"/>
    <w:rsid w:val="0069775F"/>
    <w:rsid w:val="00697D5C"/>
    <w:rsid w:val="006A6AA6"/>
    <w:rsid w:val="006A7E51"/>
    <w:rsid w:val="006A7E87"/>
    <w:rsid w:val="006B1034"/>
    <w:rsid w:val="006B1328"/>
    <w:rsid w:val="006B2A9F"/>
    <w:rsid w:val="006B3A65"/>
    <w:rsid w:val="006B4E07"/>
    <w:rsid w:val="006B57C8"/>
    <w:rsid w:val="006B6710"/>
    <w:rsid w:val="006B7195"/>
    <w:rsid w:val="006B7C04"/>
    <w:rsid w:val="006C10EB"/>
    <w:rsid w:val="006C2BB6"/>
    <w:rsid w:val="006C489D"/>
    <w:rsid w:val="006C496B"/>
    <w:rsid w:val="006C6C19"/>
    <w:rsid w:val="006C6CBC"/>
    <w:rsid w:val="006C735F"/>
    <w:rsid w:val="006D0BAB"/>
    <w:rsid w:val="006D173E"/>
    <w:rsid w:val="006D20EB"/>
    <w:rsid w:val="006D2207"/>
    <w:rsid w:val="006D31C5"/>
    <w:rsid w:val="006D3288"/>
    <w:rsid w:val="006D4B11"/>
    <w:rsid w:val="006D5D29"/>
    <w:rsid w:val="006D5F7E"/>
    <w:rsid w:val="006D7316"/>
    <w:rsid w:val="006D73D3"/>
    <w:rsid w:val="006D7E78"/>
    <w:rsid w:val="006E27D7"/>
    <w:rsid w:val="006E5A6D"/>
    <w:rsid w:val="006E6147"/>
    <w:rsid w:val="006F0F99"/>
    <w:rsid w:val="006F2330"/>
    <w:rsid w:val="006F34C8"/>
    <w:rsid w:val="006F3CAA"/>
    <w:rsid w:val="006F41CC"/>
    <w:rsid w:val="006F57C3"/>
    <w:rsid w:val="006F590A"/>
    <w:rsid w:val="006F5CD9"/>
    <w:rsid w:val="006F6A68"/>
    <w:rsid w:val="006F6E31"/>
    <w:rsid w:val="006F71F5"/>
    <w:rsid w:val="00700CA4"/>
    <w:rsid w:val="007024AE"/>
    <w:rsid w:val="00702FCF"/>
    <w:rsid w:val="00703823"/>
    <w:rsid w:val="0070420E"/>
    <w:rsid w:val="00710887"/>
    <w:rsid w:val="00712337"/>
    <w:rsid w:val="00712E65"/>
    <w:rsid w:val="00713B89"/>
    <w:rsid w:val="00715694"/>
    <w:rsid w:val="00717834"/>
    <w:rsid w:val="007218AB"/>
    <w:rsid w:val="00722A4D"/>
    <w:rsid w:val="007235E9"/>
    <w:rsid w:val="00724BD4"/>
    <w:rsid w:val="00724E01"/>
    <w:rsid w:val="007263C8"/>
    <w:rsid w:val="00727041"/>
    <w:rsid w:val="007308C8"/>
    <w:rsid w:val="00731FC9"/>
    <w:rsid w:val="007325F1"/>
    <w:rsid w:val="0073284C"/>
    <w:rsid w:val="0073483F"/>
    <w:rsid w:val="00735228"/>
    <w:rsid w:val="007361E1"/>
    <w:rsid w:val="0073730E"/>
    <w:rsid w:val="0074374B"/>
    <w:rsid w:val="00745DE0"/>
    <w:rsid w:val="00746335"/>
    <w:rsid w:val="007463F9"/>
    <w:rsid w:val="00746845"/>
    <w:rsid w:val="00751579"/>
    <w:rsid w:val="00753011"/>
    <w:rsid w:val="007531FD"/>
    <w:rsid w:val="00754699"/>
    <w:rsid w:val="00754942"/>
    <w:rsid w:val="00754EBF"/>
    <w:rsid w:val="00755B42"/>
    <w:rsid w:val="00755F37"/>
    <w:rsid w:val="00756D59"/>
    <w:rsid w:val="00757259"/>
    <w:rsid w:val="0076083C"/>
    <w:rsid w:val="00760F63"/>
    <w:rsid w:val="007612C8"/>
    <w:rsid w:val="00761BE9"/>
    <w:rsid w:val="00762489"/>
    <w:rsid w:val="0076391F"/>
    <w:rsid w:val="00765F25"/>
    <w:rsid w:val="00770A33"/>
    <w:rsid w:val="00770CFE"/>
    <w:rsid w:val="00770D87"/>
    <w:rsid w:val="00771286"/>
    <w:rsid w:val="007761FC"/>
    <w:rsid w:val="0077653F"/>
    <w:rsid w:val="00780734"/>
    <w:rsid w:val="007811D0"/>
    <w:rsid w:val="0078174E"/>
    <w:rsid w:val="00781FD6"/>
    <w:rsid w:val="00783798"/>
    <w:rsid w:val="00784235"/>
    <w:rsid w:val="00785C58"/>
    <w:rsid w:val="007869B0"/>
    <w:rsid w:val="00786D47"/>
    <w:rsid w:val="00787DC4"/>
    <w:rsid w:val="00793719"/>
    <w:rsid w:val="007942C0"/>
    <w:rsid w:val="007943EA"/>
    <w:rsid w:val="00794888"/>
    <w:rsid w:val="00794C19"/>
    <w:rsid w:val="00795E65"/>
    <w:rsid w:val="007A03DE"/>
    <w:rsid w:val="007A072C"/>
    <w:rsid w:val="007A17D2"/>
    <w:rsid w:val="007A34BC"/>
    <w:rsid w:val="007A3585"/>
    <w:rsid w:val="007A7B54"/>
    <w:rsid w:val="007A7DB0"/>
    <w:rsid w:val="007B109C"/>
    <w:rsid w:val="007B264A"/>
    <w:rsid w:val="007B2F34"/>
    <w:rsid w:val="007B3BB1"/>
    <w:rsid w:val="007B417A"/>
    <w:rsid w:val="007B7BF9"/>
    <w:rsid w:val="007C1B75"/>
    <w:rsid w:val="007C1FC2"/>
    <w:rsid w:val="007C2D0B"/>
    <w:rsid w:val="007C3C97"/>
    <w:rsid w:val="007C4C0F"/>
    <w:rsid w:val="007C6657"/>
    <w:rsid w:val="007C6C31"/>
    <w:rsid w:val="007C6CEE"/>
    <w:rsid w:val="007C6EDB"/>
    <w:rsid w:val="007C7BBD"/>
    <w:rsid w:val="007D25B6"/>
    <w:rsid w:val="007D3FB3"/>
    <w:rsid w:val="007D5006"/>
    <w:rsid w:val="007D53C1"/>
    <w:rsid w:val="007D652F"/>
    <w:rsid w:val="007D71DC"/>
    <w:rsid w:val="007D789A"/>
    <w:rsid w:val="007E0365"/>
    <w:rsid w:val="007E2415"/>
    <w:rsid w:val="007E3198"/>
    <w:rsid w:val="007E348A"/>
    <w:rsid w:val="007E4CF8"/>
    <w:rsid w:val="007E5A73"/>
    <w:rsid w:val="007E6575"/>
    <w:rsid w:val="007E6CEC"/>
    <w:rsid w:val="007E79BD"/>
    <w:rsid w:val="007E7A85"/>
    <w:rsid w:val="007F034B"/>
    <w:rsid w:val="007F0669"/>
    <w:rsid w:val="007F43CB"/>
    <w:rsid w:val="007F6140"/>
    <w:rsid w:val="007F6A85"/>
    <w:rsid w:val="007F6D44"/>
    <w:rsid w:val="007F7155"/>
    <w:rsid w:val="007F71D1"/>
    <w:rsid w:val="0080081C"/>
    <w:rsid w:val="0080174C"/>
    <w:rsid w:val="00801BA4"/>
    <w:rsid w:val="008032AC"/>
    <w:rsid w:val="00807892"/>
    <w:rsid w:val="00807B82"/>
    <w:rsid w:val="00811849"/>
    <w:rsid w:val="0081416D"/>
    <w:rsid w:val="0081729B"/>
    <w:rsid w:val="0082131A"/>
    <w:rsid w:val="00822C04"/>
    <w:rsid w:val="00823314"/>
    <w:rsid w:val="00823CC4"/>
    <w:rsid w:val="00826685"/>
    <w:rsid w:val="00826A9D"/>
    <w:rsid w:val="008302E9"/>
    <w:rsid w:val="00830D63"/>
    <w:rsid w:val="00831393"/>
    <w:rsid w:val="00832161"/>
    <w:rsid w:val="00833BAC"/>
    <w:rsid w:val="008343EC"/>
    <w:rsid w:val="00836D22"/>
    <w:rsid w:val="0084013A"/>
    <w:rsid w:val="00843415"/>
    <w:rsid w:val="00843726"/>
    <w:rsid w:val="00843F5F"/>
    <w:rsid w:val="00852519"/>
    <w:rsid w:val="00852601"/>
    <w:rsid w:val="00852674"/>
    <w:rsid w:val="00853BAD"/>
    <w:rsid w:val="0085411F"/>
    <w:rsid w:val="0085535D"/>
    <w:rsid w:val="00856881"/>
    <w:rsid w:val="00856C33"/>
    <w:rsid w:val="00856CDC"/>
    <w:rsid w:val="008608D6"/>
    <w:rsid w:val="008623B6"/>
    <w:rsid w:val="0086363D"/>
    <w:rsid w:val="00864AC7"/>
    <w:rsid w:val="00867737"/>
    <w:rsid w:val="008679C1"/>
    <w:rsid w:val="008703CA"/>
    <w:rsid w:val="00870EE7"/>
    <w:rsid w:val="00871A80"/>
    <w:rsid w:val="00871CF9"/>
    <w:rsid w:val="0087206A"/>
    <w:rsid w:val="00874901"/>
    <w:rsid w:val="00874A7F"/>
    <w:rsid w:val="0087509C"/>
    <w:rsid w:val="00875A4E"/>
    <w:rsid w:val="0088028A"/>
    <w:rsid w:val="00880F8A"/>
    <w:rsid w:val="008825BD"/>
    <w:rsid w:val="00882875"/>
    <w:rsid w:val="00883B97"/>
    <w:rsid w:val="008843E9"/>
    <w:rsid w:val="008858CC"/>
    <w:rsid w:val="0088603C"/>
    <w:rsid w:val="00886A16"/>
    <w:rsid w:val="00890164"/>
    <w:rsid w:val="008901C3"/>
    <w:rsid w:val="00893518"/>
    <w:rsid w:val="00895DB6"/>
    <w:rsid w:val="008A0DD9"/>
    <w:rsid w:val="008A1B43"/>
    <w:rsid w:val="008A358D"/>
    <w:rsid w:val="008A42EC"/>
    <w:rsid w:val="008A4460"/>
    <w:rsid w:val="008A7AFE"/>
    <w:rsid w:val="008B1D4E"/>
    <w:rsid w:val="008B219F"/>
    <w:rsid w:val="008B2F5B"/>
    <w:rsid w:val="008B2F90"/>
    <w:rsid w:val="008B4E20"/>
    <w:rsid w:val="008B5009"/>
    <w:rsid w:val="008B55A5"/>
    <w:rsid w:val="008B6B6E"/>
    <w:rsid w:val="008B7711"/>
    <w:rsid w:val="008C0616"/>
    <w:rsid w:val="008C1D82"/>
    <w:rsid w:val="008C2489"/>
    <w:rsid w:val="008C4D00"/>
    <w:rsid w:val="008C6575"/>
    <w:rsid w:val="008D0367"/>
    <w:rsid w:val="008D0EC7"/>
    <w:rsid w:val="008D4124"/>
    <w:rsid w:val="008D4A1F"/>
    <w:rsid w:val="008D4C17"/>
    <w:rsid w:val="008D5445"/>
    <w:rsid w:val="008D62D9"/>
    <w:rsid w:val="008D7234"/>
    <w:rsid w:val="008E048D"/>
    <w:rsid w:val="008E14F7"/>
    <w:rsid w:val="008E1E2E"/>
    <w:rsid w:val="008E3762"/>
    <w:rsid w:val="008E3C39"/>
    <w:rsid w:val="008E47B9"/>
    <w:rsid w:val="008E55D8"/>
    <w:rsid w:val="008E5825"/>
    <w:rsid w:val="008E6333"/>
    <w:rsid w:val="008E7C4E"/>
    <w:rsid w:val="008F1180"/>
    <w:rsid w:val="008F2E1F"/>
    <w:rsid w:val="008F50A6"/>
    <w:rsid w:val="008F5526"/>
    <w:rsid w:val="008F75F9"/>
    <w:rsid w:val="008F7ED2"/>
    <w:rsid w:val="008F7F27"/>
    <w:rsid w:val="0090001D"/>
    <w:rsid w:val="00900080"/>
    <w:rsid w:val="00903816"/>
    <w:rsid w:val="0090433D"/>
    <w:rsid w:val="00904669"/>
    <w:rsid w:val="00905816"/>
    <w:rsid w:val="00907E3F"/>
    <w:rsid w:val="00912572"/>
    <w:rsid w:val="00912A6C"/>
    <w:rsid w:val="0091309D"/>
    <w:rsid w:val="009153FB"/>
    <w:rsid w:val="009154A8"/>
    <w:rsid w:val="00916271"/>
    <w:rsid w:val="009171F3"/>
    <w:rsid w:val="009172AB"/>
    <w:rsid w:val="00917CF0"/>
    <w:rsid w:val="00917EDD"/>
    <w:rsid w:val="0092153F"/>
    <w:rsid w:val="00921AEE"/>
    <w:rsid w:val="0092481B"/>
    <w:rsid w:val="00924D8D"/>
    <w:rsid w:val="00925649"/>
    <w:rsid w:val="00926CA7"/>
    <w:rsid w:val="00926E3F"/>
    <w:rsid w:val="0092760C"/>
    <w:rsid w:val="009304DB"/>
    <w:rsid w:val="0093189A"/>
    <w:rsid w:val="0093388C"/>
    <w:rsid w:val="0093449E"/>
    <w:rsid w:val="00940103"/>
    <w:rsid w:val="00941108"/>
    <w:rsid w:val="00941E75"/>
    <w:rsid w:val="009426EF"/>
    <w:rsid w:val="009440CF"/>
    <w:rsid w:val="009460F1"/>
    <w:rsid w:val="009468F2"/>
    <w:rsid w:val="009510E0"/>
    <w:rsid w:val="0095184E"/>
    <w:rsid w:val="00951FBB"/>
    <w:rsid w:val="00952CAF"/>
    <w:rsid w:val="00953023"/>
    <w:rsid w:val="00953A48"/>
    <w:rsid w:val="00953B94"/>
    <w:rsid w:val="00957A6B"/>
    <w:rsid w:val="00960047"/>
    <w:rsid w:val="00961320"/>
    <w:rsid w:val="0096251D"/>
    <w:rsid w:val="0096460F"/>
    <w:rsid w:val="0096473C"/>
    <w:rsid w:val="00964CA9"/>
    <w:rsid w:val="00965AB8"/>
    <w:rsid w:val="00967854"/>
    <w:rsid w:val="00970DD6"/>
    <w:rsid w:val="00971098"/>
    <w:rsid w:val="0097112B"/>
    <w:rsid w:val="00971D1E"/>
    <w:rsid w:val="00972BCB"/>
    <w:rsid w:val="00973191"/>
    <w:rsid w:val="00973E85"/>
    <w:rsid w:val="00974340"/>
    <w:rsid w:val="00975653"/>
    <w:rsid w:val="0097566E"/>
    <w:rsid w:val="00980330"/>
    <w:rsid w:val="00982074"/>
    <w:rsid w:val="0098291E"/>
    <w:rsid w:val="00982D80"/>
    <w:rsid w:val="009846B2"/>
    <w:rsid w:val="0099239B"/>
    <w:rsid w:val="0099440D"/>
    <w:rsid w:val="00994793"/>
    <w:rsid w:val="00994E45"/>
    <w:rsid w:val="00997EE1"/>
    <w:rsid w:val="009A1F69"/>
    <w:rsid w:val="009A369C"/>
    <w:rsid w:val="009A3F11"/>
    <w:rsid w:val="009A4F41"/>
    <w:rsid w:val="009A587D"/>
    <w:rsid w:val="009A791C"/>
    <w:rsid w:val="009A7B7B"/>
    <w:rsid w:val="009B2088"/>
    <w:rsid w:val="009B47FE"/>
    <w:rsid w:val="009B4A50"/>
    <w:rsid w:val="009B7869"/>
    <w:rsid w:val="009C0239"/>
    <w:rsid w:val="009C0E02"/>
    <w:rsid w:val="009C3FCD"/>
    <w:rsid w:val="009C43B1"/>
    <w:rsid w:val="009C66A8"/>
    <w:rsid w:val="009D0624"/>
    <w:rsid w:val="009D096E"/>
    <w:rsid w:val="009D21B5"/>
    <w:rsid w:val="009D279B"/>
    <w:rsid w:val="009D4DE8"/>
    <w:rsid w:val="009D51BB"/>
    <w:rsid w:val="009D7DCA"/>
    <w:rsid w:val="009E05D4"/>
    <w:rsid w:val="009E2FF1"/>
    <w:rsid w:val="009E3D9B"/>
    <w:rsid w:val="009E40F1"/>
    <w:rsid w:val="009E4C43"/>
    <w:rsid w:val="009E67CB"/>
    <w:rsid w:val="009E695F"/>
    <w:rsid w:val="009F2DE5"/>
    <w:rsid w:val="009F418B"/>
    <w:rsid w:val="009F429C"/>
    <w:rsid w:val="009F59EE"/>
    <w:rsid w:val="009F5A46"/>
    <w:rsid w:val="009F61B5"/>
    <w:rsid w:val="009F7176"/>
    <w:rsid w:val="009F7715"/>
    <w:rsid w:val="009F7BE6"/>
    <w:rsid w:val="00A01958"/>
    <w:rsid w:val="00A0243B"/>
    <w:rsid w:val="00A033A8"/>
    <w:rsid w:val="00A06652"/>
    <w:rsid w:val="00A119CB"/>
    <w:rsid w:val="00A12C80"/>
    <w:rsid w:val="00A13262"/>
    <w:rsid w:val="00A15083"/>
    <w:rsid w:val="00A2083E"/>
    <w:rsid w:val="00A23F93"/>
    <w:rsid w:val="00A251B7"/>
    <w:rsid w:val="00A25B25"/>
    <w:rsid w:val="00A2616D"/>
    <w:rsid w:val="00A262B2"/>
    <w:rsid w:val="00A30088"/>
    <w:rsid w:val="00A317E9"/>
    <w:rsid w:val="00A32F16"/>
    <w:rsid w:val="00A33820"/>
    <w:rsid w:val="00A356F6"/>
    <w:rsid w:val="00A41FFD"/>
    <w:rsid w:val="00A44181"/>
    <w:rsid w:val="00A449A7"/>
    <w:rsid w:val="00A47E88"/>
    <w:rsid w:val="00A50537"/>
    <w:rsid w:val="00A50FF7"/>
    <w:rsid w:val="00A51ED5"/>
    <w:rsid w:val="00A540D8"/>
    <w:rsid w:val="00A54938"/>
    <w:rsid w:val="00A55FF4"/>
    <w:rsid w:val="00A5681A"/>
    <w:rsid w:val="00A609E2"/>
    <w:rsid w:val="00A61B3D"/>
    <w:rsid w:val="00A62B2F"/>
    <w:rsid w:val="00A63E9F"/>
    <w:rsid w:val="00A66263"/>
    <w:rsid w:val="00A6634C"/>
    <w:rsid w:val="00A66A58"/>
    <w:rsid w:val="00A67C26"/>
    <w:rsid w:val="00A70BFD"/>
    <w:rsid w:val="00A71429"/>
    <w:rsid w:val="00A716BB"/>
    <w:rsid w:val="00A716DA"/>
    <w:rsid w:val="00A71907"/>
    <w:rsid w:val="00A7262E"/>
    <w:rsid w:val="00A7652F"/>
    <w:rsid w:val="00A77602"/>
    <w:rsid w:val="00A77C37"/>
    <w:rsid w:val="00A80D19"/>
    <w:rsid w:val="00A82822"/>
    <w:rsid w:val="00A87E4C"/>
    <w:rsid w:val="00A9058B"/>
    <w:rsid w:val="00A91845"/>
    <w:rsid w:val="00A91B4B"/>
    <w:rsid w:val="00A920BE"/>
    <w:rsid w:val="00A94ECB"/>
    <w:rsid w:val="00A96FE1"/>
    <w:rsid w:val="00A9782C"/>
    <w:rsid w:val="00AA04A0"/>
    <w:rsid w:val="00AA2310"/>
    <w:rsid w:val="00AA2878"/>
    <w:rsid w:val="00AB0DEF"/>
    <w:rsid w:val="00AB26A8"/>
    <w:rsid w:val="00AB3296"/>
    <w:rsid w:val="00AB3C1B"/>
    <w:rsid w:val="00AB5442"/>
    <w:rsid w:val="00AB753F"/>
    <w:rsid w:val="00AC0E9F"/>
    <w:rsid w:val="00AC0F71"/>
    <w:rsid w:val="00AC1AD3"/>
    <w:rsid w:val="00AC1DCC"/>
    <w:rsid w:val="00AC2047"/>
    <w:rsid w:val="00AC318C"/>
    <w:rsid w:val="00AC3907"/>
    <w:rsid w:val="00AC6EF8"/>
    <w:rsid w:val="00AD0166"/>
    <w:rsid w:val="00AD1BFC"/>
    <w:rsid w:val="00AD1D6A"/>
    <w:rsid w:val="00AD22EF"/>
    <w:rsid w:val="00AD4420"/>
    <w:rsid w:val="00AD5A4A"/>
    <w:rsid w:val="00AD5A7B"/>
    <w:rsid w:val="00AD758E"/>
    <w:rsid w:val="00AD7BA1"/>
    <w:rsid w:val="00AD7E83"/>
    <w:rsid w:val="00AE00CB"/>
    <w:rsid w:val="00AE0B76"/>
    <w:rsid w:val="00AE2251"/>
    <w:rsid w:val="00AE2314"/>
    <w:rsid w:val="00AE2C0E"/>
    <w:rsid w:val="00AE40FF"/>
    <w:rsid w:val="00AE5CAD"/>
    <w:rsid w:val="00AE60C3"/>
    <w:rsid w:val="00AF0F80"/>
    <w:rsid w:val="00AF26B6"/>
    <w:rsid w:val="00AF2C7C"/>
    <w:rsid w:val="00AF430E"/>
    <w:rsid w:val="00AF44DF"/>
    <w:rsid w:val="00AF6CCC"/>
    <w:rsid w:val="00AF6D4A"/>
    <w:rsid w:val="00AF6E9A"/>
    <w:rsid w:val="00AF6F56"/>
    <w:rsid w:val="00AF7B2A"/>
    <w:rsid w:val="00B001E3"/>
    <w:rsid w:val="00B00BFE"/>
    <w:rsid w:val="00B01353"/>
    <w:rsid w:val="00B01B38"/>
    <w:rsid w:val="00B01CC3"/>
    <w:rsid w:val="00B025D8"/>
    <w:rsid w:val="00B03BD1"/>
    <w:rsid w:val="00B04AD1"/>
    <w:rsid w:val="00B06B2A"/>
    <w:rsid w:val="00B11118"/>
    <w:rsid w:val="00B11772"/>
    <w:rsid w:val="00B11E4C"/>
    <w:rsid w:val="00B121FB"/>
    <w:rsid w:val="00B13651"/>
    <w:rsid w:val="00B1443A"/>
    <w:rsid w:val="00B1593F"/>
    <w:rsid w:val="00B16740"/>
    <w:rsid w:val="00B16D8C"/>
    <w:rsid w:val="00B16E96"/>
    <w:rsid w:val="00B22CFF"/>
    <w:rsid w:val="00B22FF3"/>
    <w:rsid w:val="00B24518"/>
    <w:rsid w:val="00B24CF1"/>
    <w:rsid w:val="00B2607A"/>
    <w:rsid w:val="00B26CAD"/>
    <w:rsid w:val="00B27E57"/>
    <w:rsid w:val="00B301FF"/>
    <w:rsid w:val="00B309FB"/>
    <w:rsid w:val="00B31E29"/>
    <w:rsid w:val="00B32FA0"/>
    <w:rsid w:val="00B3340A"/>
    <w:rsid w:val="00B358A4"/>
    <w:rsid w:val="00B35BC9"/>
    <w:rsid w:val="00B36BF7"/>
    <w:rsid w:val="00B37371"/>
    <w:rsid w:val="00B405C5"/>
    <w:rsid w:val="00B406D3"/>
    <w:rsid w:val="00B40DE7"/>
    <w:rsid w:val="00B41F89"/>
    <w:rsid w:val="00B42AD8"/>
    <w:rsid w:val="00B42CF6"/>
    <w:rsid w:val="00B435E4"/>
    <w:rsid w:val="00B44348"/>
    <w:rsid w:val="00B4559F"/>
    <w:rsid w:val="00B455A9"/>
    <w:rsid w:val="00B45F67"/>
    <w:rsid w:val="00B460EB"/>
    <w:rsid w:val="00B469B0"/>
    <w:rsid w:val="00B47994"/>
    <w:rsid w:val="00B5049A"/>
    <w:rsid w:val="00B5080A"/>
    <w:rsid w:val="00B51BAC"/>
    <w:rsid w:val="00B530CB"/>
    <w:rsid w:val="00B53541"/>
    <w:rsid w:val="00B53750"/>
    <w:rsid w:val="00B54F4E"/>
    <w:rsid w:val="00B55812"/>
    <w:rsid w:val="00B55DE5"/>
    <w:rsid w:val="00B56499"/>
    <w:rsid w:val="00B618E2"/>
    <w:rsid w:val="00B66C15"/>
    <w:rsid w:val="00B6733A"/>
    <w:rsid w:val="00B70EDE"/>
    <w:rsid w:val="00B7198C"/>
    <w:rsid w:val="00B7273A"/>
    <w:rsid w:val="00B73084"/>
    <w:rsid w:val="00B74140"/>
    <w:rsid w:val="00B747C7"/>
    <w:rsid w:val="00B7582D"/>
    <w:rsid w:val="00B77D2C"/>
    <w:rsid w:val="00B77E40"/>
    <w:rsid w:val="00B80098"/>
    <w:rsid w:val="00B83F85"/>
    <w:rsid w:val="00B84AFB"/>
    <w:rsid w:val="00B84E47"/>
    <w:rsid w:val="00B8670C"/>
    <w:rsid w:val="00B92B04"/>
    <w:rsid w:val="00B92BAA"/>
    <w:rsid w:val="00B92CFF"/>
    <w:rsid w:val="00B9419F"/>
    <w:rsid w:val="00B96DC9"/>
    <w:rsid w:val="00B97169"/>
    <w:rsid w:val="00BA296A"/>
    <w:rsid w:val="00BA3017"/>
    <w:rsid w:val="00BA3756"/>
    <w:rsid w:val="00BA4875"/>
    <w:rsid w:val="00BA55E3"/>
    <w:rsid w:val="00BA7B76"/>
    <w:rsid w:val="00BB2BBE"/>
    <w:rsid w:val="00BB3EE9"/>
    <w:rsid w:val="00BB4FD3"/>
    <w:rsid w:val="00BB5D58"/>
    <w:rsid w:val="00BB6E7E"/>
    <w:rsid w:val="00BB7C71"/>
    <w:rsid w:val="00BC09F1"/>
    <w:rsid w:val="00BC2073"/>
    <w:rsid w:val="00BC3961"/>
    <w:rsid w:val="00BC4112"/>
    <w:rsid w:val="00BC4391"/>
    <w:rsid w:val="00BC5453"/>
    <w:rsid w:val="00BC68EF"/>
    <w:rsid w:val="00BC6B44"/>
    <w:rsid w:val="00BC7C7E"/>
    <w:rsid w:val="00BD0846"/>
    <w:rsid w:val="00BD41B1"/>
    <w:rsid w:val="00BD43AD"/>
    <w:rsid w:val="00BD5771"/>
    <w:rsid w:val="00BD73AD"/>
    <w:rsid w:val="00BD7527"/>
    <w:rsid w:val="00BD7653"/>
    <w:rsid w:val="00BD7ADB"/>
    <w:rsid w:val="00BE1530"/>
    <w:rsid w:val="00BE1CFB"/>
    <w:rsid w:val="00BE29C1"/>
    <w:rsid w:val="00BE3CF8"/>
    <w:rsid w:val="00BE5AE5"/>
    <w:rsid w:val="00BE6679"/>
    <w:rsid w:val="00BF0089"/>
    <w:rsid w:val="00BF05CA"/>
    <w:rsid w:val="00BF0608"/>
    <w:rsid w:val="00BF145A"/>
    <w:rsid w:val="00BF16FB"/>
    <w:rsid w:val="00BF1CFB"/>
    <w:rsid w:val="00BF1E76"/>
    <w:rsid w:val="00BF3188"/>
    <w:rsid w:val="00BF447E"/>
    <w:rsid w:val="00BF770F"/>
    <w:rsid w:val="00BF782E"/>
    <w:rsid w:val="00BF7A47"/>
    <w:rsid w:val="00C00E61"/>
    <w:rsid w:val="00C0135F"/>
    <w:rsid w:val="00C01439"/>
    <w:rsid w:val="00C01B9B"/>
    <w:rsid w:val="00C01E2D"/>
    <w:rsid w:val="00C01FD9"/>
    <w:rsid w:val="00C0494D"/>
    <w:rsid w:val="00C05CED"/>
    <w:rsid w:val="00C05D0F"/>
    <w:rsid w:val="00C0772B"/>
    <w:rsid w:val="00C10210"/>
    <w:rsid w:val="00C10391"/>
    <w:rsid w:val="00C114E0"/>
    <w:rsid w:val="00C13255"/>
    <w:rsid w:val="00C14C1E"/>
    <w:rsid w:val="00C20672"/>
    <w:rsid w:val="00C23277"/>
    <w:rsid w:val="00C24897"/>
    <w:rsid w:val="00C25E72"/>
    <w:rsid w:val="00C2622C"/>
    <w:rsid w:val="00C270A8"/>
    <w:rsid w:val="00C30A97"/>
    <w:rsid w:val="00C31876"/>
    <w:rsid w:val="00C338AA"/>
    <w:rsid w:val="00C358F1"/>
    <w:rsid w:val="00C37869"/>
    <w:rsid w:val="00C40F00"/>
    <w:rsid w:val="00C4501E"/>
    <w:rsid w:val="00C451D0"/>
    <w:rsid w:val="00C4527D"/>
    <w:rsid w:val="00C4574F"/>
    <w:rsid w:val="00C4577E"/>
    <w:rsid w:val="00C471EF"/>
    <w:rsid w:val="00C47634"/>
    <w:rsid w:val="00C47E88"/>
    <w:rsid w:val="00C50978"/>
    <w:rsid w:val="00C50D0E"/>
    <w:rsid w:val="00C511EC"/>
    <w:rsid w:val="00C51572"/>
    <w:rsid w:val="00C51BD9"/>
    <w:rsid w:val="00C51BFF"/>
    <w:rsid w:val="00C522CE"/>
    <w:rsid w:val="00C53A62"/>
    <w:rsid w:val="00C554E4"/>
    <w:rsid w:val="00C55A53"/>
    <w:rsid w:val="00C55BC6"/>
    <w:rsid w:val="00C55E72"/>
    <w:rsid w:val="00C5697D"/>
    <w:rsid w:val="00C57A0D"/>
    <w:rsid w:val="00C57B84"/>
    <w:rsid w:val="00C603C4"/>
    <w:rsid w:val="00C611A9"/>
    <w:rsid w:val="00C614EC"/>
    <w:rsid w:val="00C619C5"/>
    <w:rsid w:val="00C62E66"/>
    <w:rsid w:val="00C63B4C"/>
    <w:rsid w:val="00C66ABB"/>
    <w:rsid w:val="00C67AC5"/>
    <w:rsid w:val="00C70280"/>
    <w:rsid w:val="00C71634"/>
    <w:rsid w:val="00C72273"/>
    <w:rsid w:val="00C72C63"/>
    <w:rsid w:val="00C72F9A"/>
    <w:rsid w:val="00C8001F"/>
    <w:rsid w:val="00C80710"/>
    <w:rsid w:val="00C8071C"/>
    <w:rsid w:val="00C8167A"/>
    <w:rsid w:val="00C82A88"/>
    <w:rsid w:val="00C83FDE"/>
    <w:rsid w:val="00C84753"/>
    <w:rsid w:val="00C84CD0"/>
    <w:rsid w:val="00C84E6F"/>
    <w:rsid w:val="00C857E2"/>
    <w:rsid w:val="00C85F8B"/>
    <w:rsid w:val="00C8610A"/>
    <w:rsid w:val="00C867EC"/>
    <w:rsid w:val="00C87F56"/>
    <w:rsid w:val="00CA04EA"/>
    <w:rsid w:val="00CA1348"/>
    <w:rsid w:val="00CA35B5"/>
    <w:rsid w:val="00CA386E"/>
    <w:rsid w:val="00CA425C"/>
    <w:rsid w:val="00CB28F2"/>
    <w:rsid w:val="00CB3320"/>
    <w:rsid w:val="00CB6C48"/>
    <w:rsid w:val="00CB6E7E"/>
    <w:rsid w:val="00CC17C2"/>
    <w:rsid w:val="00CC30ED"/>
    <w:rsid w:val="00CC39E6"/>
    <w:rsid w:val="00CC3EB4"/>
    <w:rsid w:val="00CC4185"/>
    <w:rsid w:val="00CC4D81"/>
    <w:rsid w:val="00CC4F95"/>
    <w:rsid w:val="00CC68E9"/>
    <w:rsid w:val="00CC70E5"/>
    <w:rsid w:val="00CD0C3D"/>
    <w:rsid w:val="00CD2ABD"/>
    <w:rsid w:val="00CD3128"/>
    <w:rsid w:val="00CD3F7F"/>
    <w:rsid w:val="00CD4318"/>
    <w:rsid w:val="00CD47F7"/>
    <w:rsid w:val="00CD4AB7"/>
    <w:rsid w:val="00CD59A7"/>
    <w:rsid w:val="00CD6C35"/>
    <w:rsid w:val="00CE292A"/>
    <w:rsid w:val="00CE29A9"/>
    <w:rsid w:val="00CE3910"/>
    <w:rsid w:val="00CE76DD"/>
    <w:rsid w:val="00CE7B2D"/>
    <w:rsid w:val="00CF0321"/>
    <w:rsid w:val="00CF0CD9"/>
    <w:rsid w:val="00CF294B"/>
    <w:rsid w:val="00CF2B10"/>
    <w:rsid w:val="00CF301B"/>
    <w:rsid w:val="00CF306E"/>
    <w:rsid w:val="00CF36F4"/>
    <w:rsid w:val="00CF3ACD"/>
    <w:rsid w:val="00CF4D44"/>
    <w:rsid w:val="00CF50D8"/>
    <w:rsid w:val="00CF55DA"/>
    <w:rsid w:val="00CF72FF"/>
    <w:rsid w:val="00D01C34"/>
    <w:rsid w:val="00D01F4D"/>
    <w:rsid w:val="00D02201"/>
    <w:rsid w:val="00D02210"/>
    <w:rsid w:val="00D04B33"/>
    <w:rsid w:val="00D053A3"/>
    <w:rsid w:val="00D056BA"/>
    <w:rsid w:val="00D07533"/>
    <w:rsid w:val="00D11784"/>
    <w:rsid w:val="00D13434"/>
    <w:rsid w:val="00D13D9B"/>
    <w:rsid w:val="00D141A3"/>
    <w:rsid w:val="00D15D55"/>
    <w:rsid w:val="00D15E61"/>
    <w:rsid w:val="00D174EF"/>
    <w:rsid w:val="00D20F09"/>
    <w:rsid w:val="00D213EB"/>
    <w:rsid w:val="00D24019"/>
    <w:rsid w:val="00D25499"/>
    <w:rsid w:val="00D258BA"/>
    <w:rsid w:val="00D2727C"/>
    <w:rsid w:val="00D278DA"/>
    <w:rsid w:val="00D3079E"/>
    <w:rsid w:val="00D33337"/>
    <w:rsid w:val="00D339AE"/>
    <w:rsid w:val="00D350E9"/>
    <w:rsid w:val="00D36A9A"/>
    <w:rsid w:val="00D40159"/>
    <w:rsid w:val="00D401F0"/>
    <w:rsid w:val="00D40BBB"/>
    <w:rsid w:val="00D415EE"/>
    <w:rsid w:val="00D42470"/>
    <w:rsid w:val="00D44C1C"/>
    <w:rsid w:val="00D45E1A"/>
    <w:rsid w:val="00D47DFF"/>
    <w:rsid w:val="00D51540"/>
    <w:rsid w:val="00D52CCB"/>
    <w:rsid w:val="00D539C0"/>
    <w:rsid w:val="00D56167"/>
    <w:rsid w:val="00D570D7"/>
    <w:rsid w:val="00D57A8C"/>
    <w:rsid w:val="00D61E98"/>
    <w:rsid w:val="00D6323E"/>
    <w:rsid w:val="00D64545"/>
    <w:rsid w:val="00D6491C"/>
    <w:rsid w:val="00D65D5B"/>
    <w:rsid w:val="00D719AC"/>
    <w:rsid w:val="00D72AFB"/>
    <w:rsid w:val="00D74DD0"/>
    <w:rsid w:val="00D76776"/>
    <w:rsid w:val="00D76FB5"/>
    <w:rsid w:val="00D77720"/>
    <w:rsid w:val="00D82DB7"/>
    <w:rsid w:val="00D86DF6"/>
    <w:rsid w:val="00D92053"/>
    <w:rsid w:val="00D92866"/>
    <w:rsid w:val="00D935EA"/>
    <w:rsid w:val="00D93835"/>
    <w:rsid w:val="00D94404"/>
    <w:rsid w:val="00D966C9"/>
    <w:rsid w:val="00D96BBB"/>
    <w:rsid w:val="00DA155B"/>
    <w:rsid w:val="00DA1F7E"/>
    <w:rsid w:val="00DA252E"/>
    <w:rsid w:val="00DA2F4E"/>
    <w:rsid w:val="00DA41A4"/>
    <w:rsid w:val="00DA5816"/>
    <w:rsid w:val="00DA6343"/>
    <w:rsid w:val="00DA656A"/>
    <w:rsid w:val="00DA79C7"/>
    <w:rsid w:val="00DB0E59"/>
    <w:rsid w:val="00DB0EEE"/>
    <w:rsid w:val="00DB1ECD"/>
    <w:rsid w:val="00DB3F3F"/>
    <w:rsid w:val="00DB6B18"/>
    <w:rsid w:val="00DC2779"/>
    <w:rsid w:val="00DC4584"/>
    <w:rsid w:val="00DD2338"/>
    <w:rsid w:val="00DD324C"/>
    <w:rsid w:val="00DD71EF"/>
    <w:rsid w:val="00DD778D"/>
    <w:rsid w:val="00DE0FDD"/>
    <w:rsid w:val="00DE107A"/>
    <w:rsid w:val="00DE1470"/>
    <w:rsid w:val="00DE14E7"/>
    <w:rsid w:val="00DE1EE2"/>
    <w:rsid w:val="00DE2BEF"/>
    <w:rsid w:val="00DE3252"/>
    <w:rsid w:val="00DE4469"/>
    <w:rsid w:val="00DE697B"/>
    <w:rsid w:val="00DF0BF3"/>
    <w:rsid w:val="00DF14EF"/>
    <w:rsid w:val="00DF39CB"/>
    <w:rsid w:val="00DF3AEF"/>
    <w:rsid w:val="00DF4455"/>
    <w:rsid w:val="00DF646B"/>
    <w:rsid w:val="00DF7916"/>
    <w:rsid w:val="00E027DB"/>
    <w:rsid w:val="00E02E01"/>
    <w:rsid w:val="00E107F4"/>
    <w:rsid w:val="00E12E73"/>
    <w:rsid w:val="00E13723"/>
    <w:rsid w:val="00E142C7"/>
    <w:rsid w:val="00E158E4"/>
    <w:rsid w:val="00E17C2A"/>
    <w:rsid w:val="00E20B57"/>
    <w:rsid w:val="00E20CFB"/>
    <w:rsid w:val="00E22380"/>
    <w:rsid w:val="00E24057"/>
    <w:rsid w:val="00E25DD1"/>
    <w:rsid w:val="00E26472"/>
    <w:rsid w:val="00E267E0"/>
    <w:rsid w:val="00E30987"/>
    <w:rsid w:val="00E32152"/>
    <w:rsid w:val="00E3271A"/>
    <w:rsid w:val="00E345FC"/>
    <w:rsid w:val="00E34B42"/>
    <w:rsid w:val="00E34C11"/>
    <w:rsid w:val="00E35258"/>
    <w:rsid w:val="00E357E3"/>
    <w:rsid w:val="00E35FE0"/>
    <w:rsid w:val="00E361EA"/>
    <w:rsid w:val="00E36D9E"/>
    <w:rsid w:val="00E37C6C"/>
    <w:rsid w:val="00E43247"/>
    <w:rsid w:val="00E434FC"/>
    <w:rsid w:val="00E44D57"/>
    <w:rsid w:val="00E4634C"/>
    <w:rsid w:val="00E47119"/>
    <w:rsid w:val="00E515BB"/>
    <w:rsid w:val="00E51BE3"/>
    <w:rsid w:val="00E528E4"/>
    <w:rsid w:val="00E537C7"/>
    <w:rsid w:val="00E55B92"/>
    <w:rsid w:val="00E56B15"/>
    <w:rsid w:val="00E608CE"/>
    <w:rsid w:val="00E62BBA"/>
    <w:rsid w:val="00E64E0C"/>
    <w:rsid w:val="00E660B7"/>
    <w:rsid w:val="00E70499"/>
    <w:rsid w:val="00E724DC"/>
    <w:rsid w:val="00E724E6"/>
    <w:rsid w:val="00E72E09"/>
    <w:rsid w:val="00E73750"/>
    <w:rsid w:val="00E76134"/>
    <w:rsid w:val="00E76245"/>
    <w:rsid w:val="00E80827"/>
    <w:rsid w:val="00E82079"/>
    <w:rsid w:val="00E822E8"/>
    <w:rsid w:val="00E825CC"/>
    <w:rsid w:val="00E848AA"/>
    <w:rsid w:val="00E87DB6"/>
    <w:rsid w:val="00E90F19"/>
    <w:rsid w:val="00E92B3C"/>
    <w:rsid w:val="00E95113"/>
    <w:rsid w:val="00E951ED"/>
    <w:rsid w:val="00EA021A"/>
    <w:rsid w:val="00EA231E"/>
    <w:rsid w:val="00EA3F6C"/>
    <w:rsid w:val="00EA4203"/>
    <w:rsid w:val="00EA57CD"/>
    <w:rsid w:val="00EB06C9"/>
    <w:rsid w:val="00EB1900"/>
    <w:rsid w:val="00EB20F4"/>
    <w:rsid w:val="00EB2D21"/>
    <w:rsid w:val="00EB39F7"/>
    <w:rsid w:val="00EB5825"/>
    <w:rsid w:val="00EB5C01"/>
    <w:rsid w:val="00EB5F03"/>
    <w:rsid w:val="00EB7D61"/>
    <w:rsid w:val="00EC03F2"/>
    <w:rsid w:val="00EC1A5F"/>
    <w:rsid w:val="00EC1C6B"/>
    <w:rsid w:val="00EC4143"/>
    <w:rsid w:val="00EC4E49"/>
    <w:rsid w:val="00EC539A"/>
    <w:rsid w:val="00EC5DBC"/>
    <w:rsid w:val="00EC6728"/>
    <w:rsid w:val="00EC6BBB"/>
    <w:rsid w:val="00ED136F"/>
    <w:rsid w:val="00ED2BC2"/>
    <w:rsid w:val="00ED2E36"/>
    <w:rsid w:val="00ED3486"/>
    <w:rsid w:val="00ED3C96"/>
    <w:rsid w:val="00ED3FD6"/>
    <w:rsid w:val="00ED40A8"/>
    <w:rsid w:val="00ED44EB"/>
    <w:rsid w:val="00ED5473"/>
    <w:rsid w:val="00ED7FA2"/>
    <w:rsid w:val="00EE08CC"/>
    <w:rsid w:val="00EE2B3F"/>
    <w:rsid w:val="00EE494F"/>
    <w:rsid w:val="00EE4B2B"/>
    <w:rsid w:val="00EE4CC4"/>
    <w:rsid w:val="00EE5563"/>
    <w:rsid w:val="00EE591B"/>
    <w:rsid w:val="00EE609B"/>
    <w:rsid w:val="00EF192B"/>
    <w:rsid w:val="00EF4018"/>
    <w:rsid w:val="00EF70FF"/>
    <w:rsid w:val="00EF732C"/>
    <w:rsid w:val="00EF7D8D"/>
    <w:rsid w:val="00F001DF"/>
    <w:rsid w:val="00F00A15"/>
    <w:rsid w:val="00F02343"/>
    <w:rsid w:val="00F02638"/>
    <w:rsid w:val="00F02782"/>
    <w:rsid w:val="00F02E80"/>
    <w:rsid w:val="00F04700"/>
    <w:rsid w:val="00F04DD8"/>
    <w:rsid w:val="00F06A1C"/>
    <w:rsid w:val="00F07226"/>
    <w:rsid w:val="00F11334"/>
    <w:rsid w:val="00F11768"/>
    <w:rsid w:val="00F12F02"/>
    <w:rsid w:val="00F134A2"/>
    <w:rsid w:val="00F13ACE"/>
    <w:rsid w:val="00F13C43"/>
    <w:rsid w:val="00F148DB"/>
    <w:rsid w:val="00F14A2E"/>
    <w:rsid w:val="00F15421"/>
    <w:rsid w:val="00F16BC5"/>
    <w:rsid w:val="00F20770"/>
    <w:rsid w:val="00F24A8E"/>
    <w:rsid w:val="00F253A1"/>
    <w:rsid w:val="00F25AB6"/>
    <w:rsid w:val="00F27DCE"/>
    <w:rsid w:val="00F30F8A"/>
    <w:rsid w:val="00F3267F"/>
    <w:rsid w:val="00F33019"/>
    <w:rsid w:val="00F3498B"/>
    <w:rsid w:val="00F3548C"/>
    <w:rsid w:val="00F35653"/>
    <w:rsid w:val="00F360C9"/>
    <w:rsid w:val="00F364D7"/>
    <w:rsid w:val="00F3737B"/>
    <w:rsid w:val="00F37EAE"/>
    <w:rsid w:val="00F404D5"/>
    <w:rsid w:val="00F40F93"/>
    <w:rsid w:val="00F415DF"/>
    <w:rsid w:val="00F43707"/>
    <w:rsid w:val="00F44916"/>
    <w:rsid w:val="00F45061"/>
    <w:rsid w:val="00F45208"/>
    <w:rsid w:val="00F47F86"/>
    <w:rsid w:val="00F503D2"/>
    <w:rsid w:val="00F51B8C"/>
    <w:rsid w:val="00F5271F"/>
    <w:rsid w:val="00F5400A"/>
    <w:rsid w:val="00F547F1"/>
    <w:rsid w:val="00F55F44"/>
    <w:rsid w:val="00F56143"/>
    <w:rsid w:val="00F5677C"/>
    <w:rsid w:val="00F57525"/>
    <w:rsid w:val="00F575BE"/>
    <w:rsid w:val="00F601C3"/>
    <w:rsid w:val="00F60D7C"/>
    <w:rsid w:val="00F61E8C"/>
    <w:rsid w:val="00F6495C"/>
    <w:rsid w:val="00F65A4B"/>
    <w:rsid w:val="00F66431"/>
    <w:rsid w:val="00F667B8"/>
    <w:rsid w:val="00F6738A"/>
    <w:rsid w:val="00F70A68"/>
    <w:rsid w:val="00F710CD"/>
    <w:rsid w:val="00F7514D"/>
    <w:rsid w:val="00F75939"/>
    <w:rsid w:val="00F75B5B"/>
    <w:rsid w:val="00F761C6"/>
    <w:rsid w:val="00F762BD"/>
    <w:rsid w:val="00F805CD"/>
    <w:rsid w:val="00F806AA"/>
    <w:rsid w:val="00F83174"/>
    <w:rsid w:val="00F8377D"/>
    <w:rsid w:val="00F83F8C"/>
    <w:rsid w:val="00F83FA6"/>
    <w:rsid w:val="00F84701"/>
    <w:rsid w:val="00F8757F"/>
    <w:rsid w:val="00F902EF"/>
    <w:rsid w:val="00F9280B"/>
    <w:rsid w:val="00F92B50"/>
    <w:rsid w:val="00F93709"/>
    <w:rsid w:val="00F94A1D"/>
    <w:rsid w:val="00F95E9D"/>
    <w:rsid w:val="00F960D9"/>
    <w:rsid w:val="00F97140"/>
    <w:rsid w:val="00F97F1B"/>
    <w:rsid w:val="00F97F96"/>
    <w:rsid w:val="00FA19A2"/>
    <w:rsid w:val="00FA1ECC"/>
    <w:rsid w:val="00FA575A"/>
    <w:rsid w:val="00FB0515"/>
    <w:rsid w:val="00FB0F1D"/>
    <w:rsid w:val="00FB10A0"/>
    <w:rsid w:val="00FB27EF"/>
    <w:rsid w:val="00FB37CE"/>
    <w:rsid w:val="00FB4DB4"/>
    <w:rsid w:val="00FB5608"/>
    <w:rsid w:val="00FB5AF5"/>
    <w:rsid w:val="00FB6B3E"/>
    <w:rsid w:val="00FB70FD"/>
    <w:rsid w:val="00FC0004"/>
    <w:rsid w:val="00FC1975"/>
    <w:rsid w:val="00FC258D"/>
    <w:rsid w:val="00FC4A80"/>
    <w:rsid w:val="00FC5E98"/>
    <w:rsid w:val="00FC602F"/>
    <w:rsid w:val="00FD00B5"/>
    <w:rsid w:val="00FD046B"/>
    <w:rsid w:val="00FD0CB8"/>
    <w:rsid w:val="00FD128F"/>
    <w:rsid w:val="00FD2ADB"/>
    <w:rsid w:val="00FD3BB4"/>
    <w:rsid w:val="00FD5830"/>
    <w:rsid w:val="00FD5917"/>
    <w:rsid w:val="00FD62AF"/>
    <w:rsid w:val="00FD6E00"/>
    <w:rsid w:val="00FD7F64"/>
    <w:rsid w:val="00FE11F1"/>
    <w:rsid w:val="00FE1C42"/>
    <w:rsid w:val="00FE30E6"/>
    <w:rsid w:val="00FE5E8F"/>
    <w:rsid w:val="00FF0672"/>
    <w:rsid w:val="00FF181F"/>
    <w:rsid w:val="00FF2454"/>
    <w:rsid w:val="00FF275C"/>
    <w:rsid w:val="00FF2E39"/>
    <w:rsid w:val="00FF46D6"/>
    <w:rsid w:val="00FF493D"/>
    <w:rsid w:val="00FF676E"/>
    <w:rsid w:val="09014074"/>
    <w:rsid w:val="10399FEC"/>
    <w:rsid w:val="123D4CFB"/>
    <w:rsid w:val="14A93882"/>
    <w:rsid w:val="1965A103"/>
    <w:rsid w:val="1A96F571"/>
    <w:rsid w:val="1AE7837D"/>
    <w:rsid w:val="247272E5"/>
    <w:rsid w:val="2B598ABA"/>
    <w:rsid w:val="2BAA4741"/>
    <w:rsid w:val="2E4F050F"/>
    <w:rsid w:val="31555641"/>
    <w:rsid w:val="357A9105"/>
    <w:rsid w:val="3614F239"/>
    <w:rsid w:val="3A1319AC"/>
    <w:rsid w:val="41A2AD3E"/>
    <w:rsid w:val="45CD49FF"/>
    <w:rsid w:val="4A256BB4"/>
    <w:rsid w:val="4B50F5A9"/>
    <w:rsid w:val="58597A80"/>
    <w:rsid w:val="650C6EE4"/>
    <w:rsid w:val="6FA9A3E7"/>
    <w:rsid w:val="6FD925C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6DCE79"/>
  <w15:docId w15:val="{E3B81442-EF2B-4FBA-B449-0BBECA9A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0" w:unhideWhenUsed="1"/>
    <w:lsdException w:name="heading 3" w:locked="0" w:semiHidden="1" w:uiPriority="0" w:unhideWhenUsed="1"/>
    <w:lsdException w:name="heading 4" w:locked="0" w:semiHidden="1" w:uiPriority="9" w:unhideWhenUsed="1" w:qFormat="1"/>
    <w:lsdException w:name="heading 5" w:locked="0" w:semiHidden="1" w:uiPriority="9" w:unhideWhenUsed="1"/>
    <w:lsdException w:name="heading 6" w:semiHidden="1" w:uiPriority="39" w:qFormat="1"/>
    <w:lsdException w:name="heading 7" w:semiHidden="1" w:uiPriority="39" w:qFormat="1"/>
    <w:lsdException w:name="heading 8" w:semiHidden="1" w:uiPriority="39" w:qFormat="1"/>
    <w:lsdException w:name="heading 9" w:semiHidden="1" w:uiPriority="3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locked="0" w:semiHidden="1" w:unhideWhenUsed="1"/>
    <w:lsdException w:name="annotation text" w:semiHidden="1"/>
    <w:lsdException w:name="header" w:locked="0" w:semiHidden="1" w:unhideWhenUsed="1"/>
    <w:lsdException w:name="footer" w:locked="0" w:semiHidden="1" w:unhideWhenUsed="1"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locked="0" w:semiHidden="1" w:unhideWhenUsed="1"/>
    <w:lsdException w:name="annotation reference" w:semiHidden="1"/>
    <w:lsdException w:name="line number" w:semiHidden="1"/>
    <w:lsdException w:name="page number" w:locked="0" w:semiHidden="1" w:uiPriority="39"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locked="0" w:semiHidden="1" w:unhideWhenUsed="1"/>
    <w:lsdException w:name="List Number" w:semiHidden="1"/>
    <w:lsdException w:name="List 2" w:semiHidden="1"/>
    <w:lsdException w:name="List 3" w:semiHidden="1"/>
    <w:lsdException w:name="List 4" w:semiHidden="1"/>
    <w:lsdException w:name="List 5" w:semiHidden="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lsdException w:name="List Number 3" w:semiHidden="1"/>
    <w:lsdException w:name="List Number 4" w:semiHidden="1"/>
    <w:lsdException w:name="List Number 5" w:semiHidden="1"/>
    <w:lsdException w:name="Title" w:semiHidden="1" w:uiPriority="39"/>
    <w:lsdException w:name="Closing" w:semiHidden="1"/>
    <w:lsdException w:name="Signature" w:semiHidden="1"/>
    <w:lsdException w:name="Default Paragraph Font" w:locked="0" w:semiHidden="1" w:uiPriority="1" w:unhideWhenUsed="1"/>
    <w:lsdException w:name="Body Text" w:locked="0" w:semiHidden="1" w:uiPriority="39"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9"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locked="0" w:semiHidden="1" w:unhideWhenUsed="1"/>
    <w:lsdException w:name="Strong" w:semiHidden="1" w:uiPriority="39" w:qFormat="1"/>
    <w:lsdException w:name="Emphasis" w:semiHidden="1" w:uiPriority="39"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ocked="0"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locked="0" w:uiPriority="31" w:qFormat="1"/>
    <w:lsdException w:name="Intense Reference" w:locked="0" w:uiPriority="32" w:qFormat="1"/>
    <w:lsdException w:name="Book Title" w:semiHidden="1" w:uiPriority="33" w:qFormat="1"/>
    <w:lsdException w:name="Bibliography" w:semiHidden="1" w:uiPriority="37"/>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latentStyles>
  <w:style w:type="paragraph" w:default="1" w:styleId="Normal">
    <w:name w:val="Normal"/>
    <w:uiPriority w:val="39"/>
    <w:semiHidden/>
    <w:qFormat/>
    <w:rsid w:val="00CC68E9"/>
    <w:pPr>
      <w:spacing w:after="0" w:line="240" w:lineRule="auto"/>
    </w:pPr>
    <w:rPr>
      <w:sz w:val="19"/>
    </w:rPr>
  </w:style>
  <w:style w:type="paragraph" w:styleId="Heading1">
    <w:name w:val="heading 1"/>
    <w:basedOn w:val="Normal"/>
    <w:next w:val="BodytextRegular"/>
    <w:link w:val="Heading1Char"/>
    <w:uiPriority w:val="9"/>
    <w:semiHidden/>
    <w:qFormat/>
    <w:locked/>
    <w:rsid w:val="00664470"/>
    <w:pPr>
      <w:keepNext/>
      <w:pBdr>
        <w:bottom w:val="single" w:sz="8" w:space="1" w:color="63C532" w:themeColor="accent2"/>
      </w:pBdr>
      <w:tabs>
        <w:tab w:val="left" w:pos="1736"/>
      </w:tabs>
      <w:spacing w:after="240" w:line="276" w:lineRule="auto"/>
      <w:outlineLvl w:val="0"/>
    </w:pPr>
    <w:rPr>
      <w:rFonts w:asciiTheme="majorHAnsi" w:eastAsia="Times New Roman" w:hAnsiTheme="majorHAnsi" w:cs="Arial"/>
      <w:bCs/>
      <w:color w:val="A446BA" w:themeColor="text2"/>
      <w:kern w:val="32"/>
      <w:sz w:val="28"/>
      <w:szCs w:val="32"/>
    </w:rPr>
  </w:style>
  <w:style w:type="paragraph" w:styleId="Heading2">
    <w:name w:val="heading 2"/>
    <w:basedOn w:val="Normal"/>
    <w:next w:val="BodytextRegular"/>
    <w:link w:val="Heading2Char"/>
    <w:uiPriority w:val="39"/>
    <w:semiHidden/>
    <w:locked/>
    <w:rsid w:val="00664470"/>
    <w:pPr>
      <w:keepNext/>
      <w:tabs>
        <w:tab w:val="left" w:pos="1736"/>
      </w:tabs>
      <w:spacing w:before="120" w:after="120" w:line="320" w:lineRule="exact"/>
      <w:outlineLvl w:val="1"/>
    </w:pPr>
    <w:rPr>
      <w:rFonts w:asciiTheme="majorHAnsi" w:eastAsia="Times New Roman" w:hAnsiTheme="majorHAnsi" w:cs="Arial"/>
      <w:bCs/>
      <w:iCs/>
      <w:color w:val="001E41" w:themeColor="accent1"/>
      <w:sz w:val="24"/>
      <w:szCs w:val="28"/>
    </w:rPr>
  </w:style>
  <w:style w:type="paragraph" w:styleId="Heading3">
    <w:name w:val="heading 3"/>
    <w:basedOn w:val="Normal"/>
    <w:next w:val="BodytextRegular"/>
    <w:link w:val="Heading3Char"/>
    <w:autoRedefine/>
    <w:uiPriority w:val="39"/>
    <w:semiHidden/>
    <w:locked/>
    <w:rsid w:val="00AD758E"/>
    <w:pPr>
      <w:keepNext/>
      <w:spacing w:before="120" w:after="120"/>
      <w:outlineLvl w:val="2"/>
    </w:pPr>
    <w:rPr>
      <w:rFonts w:asciiTheme="majorHAnsi" w:eastAsia="Times New Roman" w:hAnsiTheme="majorHAnsi" w:cs="Arial"/>
      <w:bCs/>
      <w:color w:val="001E41" w:themeColor="accent1"/>
      <w:spacing w:val="-6"/>
      <w:sz w:val="22"/>
      <w:lang w:eastAsia="ja-JP"/>
    </w:rPr>
  </w:style>
  <w:style w:type="paragraph" w:styleId="Heading4">
    <w:name w:val="heading 4"/>
    <w:basedOn w:val="Normal"/>
    <w:next w:val="BodyText"/>
    <w:link w:val="Heading4Char"/>
    <w:uiPriority w:val="39"/>
    <w:semiHidden/>
    <w:qFormat/>
    <w:locked/>
    <w:rsid w:val="00AD758E"/>
    <w:pPr>
      <w:keepNext/>
      <w:keepLines/>
      <w:spacing w:before="200"/>
      <w:outlineLvl w:val="3"/>
    </w:pPr>
    <w:rPr>
      <w:rFonts w:asciiTheme="majorHAnsi" w:eastAsiaTheme="majorEastAsia" w:hAnsiTheme="majorHAnsi" w:cstheme="majorBidi"/>
      <w:b/>
      <w:bCs/>
      <w:iCs/>
      <w:color w:val="0074B7" w:themeColor="accent3"/>
    </w:rPr>
  </w:style>
  <w:style w:type="paragraph" w:styleId="Heading5">
    <w:name w:val="heading 5"/>
    <w:basedOn w:val="Normal"/>
    <w:next w:val="Normal"/>
    <w:link w:val="Heading5Char"/>
    <w:uiPriority w:val="39"/>
    <w:semiHidden/>
    <w:locked/>
    <w:rsid w:val="00AD758E"/>
    <w:pPr>
      <w:keepNext/>
      <w:keepLines/>
      <w:spacing w:before="200"/>
      <w:outlineLvl w:val="4"/>
    </w:pPr>
    <w:rPr>
      <w:rFonts w:asciiTheme="majorHAnsi" w:eastAsiaTheme="majorEastAsia" w:hAnsiTheme="majorHAnsi" w:cstheme="majorBidi"/>
      <w:color w:val="001E4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BodytextRegular"/>
    <w:uiPriority w:val="27"/>
    <w:qFormat/>
    <w:rsid w:val="0095184E"/>
    <w:pPr>
      <w:framePr w:hSpace="180" w:wrap="around" w:vAnchor="text" w:hAnchor="text" w:x="-6" w:y="1"/>
      <w:spacing w:line="216" w:lineRule="auto"/>
      <w:ind w:left="113"/>
      <w:suppressOverlap/>
    </w:pPr>
    <w:rPr>
      <w:rFonts w:ascii="Schroders Circular TT" w:hAnsi="Schroders Circular TT" w:cs="Schroders Circular TT Black"/>
      <w:color w:val="FFFFFF" w:themeColor="background1"/>
      <w:sz w:val="48"/>
      <w:szCs w:val="36"/>
      <w:lang w:val="fr-CH"/>
    </w:rPr>
  </w:style>
  <w:style w:type="paragraph" w:customStyle="1" w:styleId="Documentsubtitle">
    <w:name w:val="Document subtitle"/>
    <w:basedOn w:val="BodytextRegular"/>
    <w:next w:val="BodytextRegular"/>
    <w:uiPriority w:val="28"/>
    <w:qFormat/>
    <w:rsid w:val="0095184E"/>
    <w:rPr>
      <w:rFonts w:ascii="Schroders Circular TT" w:hAnsi="Schroders Circular TT"/>
      <w:color w:val="00A2B5" w:themeColor="background2"/>
      <w:sz w:val="28"/>
      <w:szCs w:val="32"/>
    </w:rPr>
  </w:style>
  <w:style w:type="character" w:customStyle="1" w:styleId="Heading1Char">
    <w:name w:val="Heading 1 Char"/>
    <w:basedOn w:val="DefaultParagraphFont"/>
    <w:link w:val="Heading1"/>
    <w:uiPriority w:val="9"/>
    <w:semiHidden/>
    <w:rsid w:val="00261FA2"/>
    <w:rPr>
      <w:rFonts w:asciiTheme="majorHAnsi" w:eastAsia="Times New Roman" w:hAnsiTheme="majorHAnsi" w:cs="Arial"/>
      <w:bCs/>
      <w:color w:val="002A5E"/>
      <w:kern w:val="32"/>
      <w:sz w:val="36"/>
      <w:szCs w:val="32"/>
    </w:rPr>
  </w:style>
  <w:style w:type="character" w:customStyle="1" w:styleId="Heading2Char">
    <w:name w:val="Heading 2 Char"/>
    <w:basedOn w:val="DefaultParagraphFont"/>
    <w:link w:val="Heading2"/>
    <w:uiPriority w:val="39"/>
    <w:semiHidden/>
    <w:rsid w:val="005245EE"/>
    <w:rPr>
      <w:rFonts w:asciiTheme="majorHAnsi" w:eastAsia="Times New Roman" w:hAnsiTheme="majorHAnsi" w:cs="Arial"/>
      <w:bCs/>
      <w:iCs/>
      <w:color w:val="0074B7" w:themeColor="accent3"/>
      <w:szCs w:val="28"/>
    </w:rPr>
  </w:style>
  <w:style w:type="character" w:customStyle="1" w:styleId="Heading3Char">
    <w:name w:val="Heading 3 Char"/>
    <w:basedOn w:val="DefaultParagraphFont"/>
    <w:link w:val="Heading3"/>
    <w:uiPriority w:val="39"/>
    <w:semiHidden/>
    <w:rsid w:val="00AD758E"/>
    <w:rPr>
      <w:rFonts w:asciiTheme="majorHAnsi" w:eastAsia="Times New Roman" w:hAnsiTheme="majorHAnsi" w:cs="Arial"/>
      <w:bCs/>
      <w:color w:val="001E41" w:themeColor="accent1"/>
      <w:spacing w:val="-6"/>
      <w:lang w:eastAsia="ja-JP"/>
    </w:rPr>
  </w:style>
  <w:style w:type="character" w:customStyle="1" w:styleId="Heading4Char">
    <w:name w:val="Heading 4 Char"/>
    <w:basedOn w:val="DefaultParagraphFont"/>
    <w:link w:val="Heading4"/>
    <w:uiPriority w:val="39"/>
    <w:semiHidden/>
    <w:rsid w:val="00AD758E"/>
    <w:rPr>
      <w:rFonts w:asciiTheme="majorHAnsi" w:eastAsiaTheme="majorEastAsia" w:hAnsiTheme="majorHAnsi" w:cstheme="majorBidi"/>
      <w:b/>
      <w:bCs/>
      <w:iCs/>
      <w:color w:val="0074B7" w:themeColor="accent3"/>
      <w:sz w:val="19"/>
    </w:rPr>
  </w:style>
  <w:style w:type="paragraph" w:styleId="BodyText">
    <w:name w:val="Body Text"/>
    <w:basedOn w:val="Normal"/>
    <w:link w:val="BodyTextChar"/>
    <w:uiPriority w:val="39"/>
    <w:semiHidden/>
    <w:locked/>
    <w:rsid w:val="00852601"/>
    <w:pPr>
      <w:spacing w:after="120"/>
    </w:pPr>
  </w:style>
  <w:style w:type="character" w:customStyle="1" w:styleId="BodyTextChar">
    <w:name w:val="Body Text Char"/>
    <w:basedOn w:val="DefaultParagraphFont"/>
    <w:link w:val="BodyText"/>
    <w:uiPriority w:val="39"/>
    <w:semiHidden/>
    <w:rsid w:val="00852601"/>
    <w:rPr>
      <w:sz w:val="19"/>
    </w:rPr>
  </w:style>
  <w:style w:type="paragraph" w:styleId="ListBullet">
    <w:name w:val="List Bullet"/>
    <w:basedOn w:val="Normal"/>
    <w:uiPriority w:val="99"/>
    <w:semiHidden/>
    <w:locked/>
    <w:rsid w:val="00E64E0C"/>
    <w:pPr>
      <w:numPr>
        <w:numId w:val="1"/>
      </w:numPr>
      <w:ind w:left="227" w:hanging="227"/>
      <w:contextualSpacing/>
    </w:pPr>
  </w:style>
  <w:style w:type="paragraph" w:styleId="ListBullet2">
    <w:name w:val="List Bullet 2"/>
    <w:basedOn w:val="Normal"/>
    <w:uiPriority w:val="99"/>
    <w:semiHidden/>
    <w:locked/>
    <w:rsid w:val="00E64E0C"/>
    <w:pPr>
      <w:numPr>
        <w:numId w:val="2"/>
      </w:numPr>
      <w:ind w:left="454" w:hanging="227"/>
      <w:contextualSpacing/>
    </w:pPr>
  </w:style>
  <w:style w:type="paragraph" w:styleId="ListBullet3">
    <w:name w:val="List Bullet 3"/>
    <w:basedOn w:val="Normal"/>
    <w:uiPriority w:val="99"/>
    <w:locked/>
    <w:rsid w:val="00E64E0C"/>
    <w:pPr>
      <w:numPr>
        <w:numId w:val="3"/>
      </w:numPr>
      <w:ind w:left="681" w:hanging="227"/>
      <w:contextualSpacing/>
    </w:pPr>
  </w:style>
  <w:style w:type="paragraph" w:styleId="ListBullet4">
    <w:name w:val="List Bullet 4"/>
    <w:basedOn w:val="Normal"/>
    <w:uiPriority w:val="99"/>
    <w:semiHidden/>
    <w:locked/>
    <w:rsid w:val="00E64E0C"/>
    <w:pPr>
      <w:numPr>
        <w:numId w:val="4"/>
      </w:numPr>
      <w:ind w:left="907" w:hanging="227"/>
      <w:contextualSpacing/>
    </w:pPr>
  </w:style>
  <w:style w:type="paragraph" w:styleId="ListBullet5">
    <w:name w:val="List Bullet 5"/>
    <w:basedOn w:val="Normal"/>
    <w:uiPriority w:val="99"/>
    <w:semiHidden/>
    <w:locked/>
    <w:rsid w:val="00E64E0C"/>
    <w:pPr>
      <w:numPr>
        <w:numId w:val="5"/>
      </w:numPr>
      <w:ind w:left="1134" w:hanging="227"/>
      <w:contextualSpacing/>
    </w:pPr>
  </w:style>
  <w:style w:type="table" w:styleId="TableGrid">
    <w:name w:val="Table Grid"/>
    <w:basedOn w:val="TableNormal"/>
    <w:uiPriority w:val="39"/>
    <w:locked/>
    <w:rsid w:val="007E0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39"/>
    <w:semiHidden/>
    <w:locked/>
    <w:rsid w:val="0093189A"/>
    <w:rPr>
      <w:rFonts w:asciiTheme="minorHAnsi" w:hAnsiTheme="minorHAnsi"/>
      <w:b/>
      <w:color w:val="001E41" w:themeColor="accent1"/>
      <w:sz w:val="16"/>
    </w:rPr>
  </w:style>
  <w:style w:type="paragraph" w:customStyle="1" w:styleId="Chartandtablesubtitle">
    <w:name w:val="Chart and table subtitle"/>
    <w:basedOn w:val="Tabletext"/>
    <w:next w:val="BodyText"/>
    <w:uiPriority w:val="18"/>
    <w:qFormat/>
    <w:rsid w:val="001A51FE"/>
    <w:rPr>
      <w:rFonts w:eastAsia="Times New Roman" w:cstheme="minorHAnsi"/>
      <w:lang w:eastAsia="ja-JP"/>
    </w:rPr>
  </w:style>
  <w:style w:type="paragraph" w:styleId="BalloonText">
    <w:name w:val="Balloon Text"/>
    <w:basedOn w:val="Normal"/>
    <w:link w:val="BalloonTextChar"/>
    <w:uiPriority w:val="99"/>
    <w:semiHidden/>
    <w:locked/>
    <w:rsid w:val="00C01FD9"/>
    <w:rPr>
      <w:rFonts w:ascii="Tahoma" w:hAnsi="Tahoma" w:cs="Tahoma"/>
      <w:sz w:val="16"/>
      <w:szCs w:val="16"/>
    </w:rPr>
  </w:style>
  <w:style w:type="character" w:customStyle="1" w:styleId="BalloonTextChar">
    <w:name w:val="Balloon Text Char"/>
    <w:basedOn w:val="DefaultParagraphFont"/>
    <w:link w:val="BalloonText"/>
    <w:uiPriority w:val="99"/>
    <w:semiHidden/>
    <w:rsid w:val="00384AD6"/>
    <w:rPr>
      <w:rFonts w:ascii="Tahoma" w:hAnsi="Tahoma" w:cs="Tahoma"/>
      <w:sz w:val="16"/>
      <w:szCs w:val="16"/>
    </w:rPr>
  </w:style>
  <w:style w:type="paragraph" w:customStyle="1" w:styleId="TableTextBold">
    <w:name w:val="Table Text Bold"/>
    <w:basedOn w:val="Normal"/>
    <w:uiPriority w:val="39"/>
    <w:semiHidden/>
    <w:qFormat/>
    <w:locked/>
    <w:rsid w:val="004977F0"/>
    <w:pPr>
      <w:tabs>
        <w:tab w:val="left" w:pos="3402"/>
      </w:tabs>
      <w:spacing w:before="60" w:after="60"/>
    </w:pPr>
    <w:rPr>
      <w:b/>
      <w:sz w:val="20"/>
      <w:lang w:eastAsia="ja-JP"/>
    </w:rPr>
  </w:style>
  <w:style w:type="paragraph" w:styleId="TOC1">
    <w:name w:val="toc 1"/>
    <w:aliases w:val="Table of Contents Level 1"/>
    <w:basedOn w:val="Normal"/>
    <w:next w:val="BodytextRegular"/>
    <w:autoRedefine/>
    <w:uiPriority w:val="39"/>
    <w:semiHidden/>
    <w:qFormat/>
    <w:rsid w:val="009510E0"/>
    <w:pPr>
      <w:tabs>
        <w:tab w:val="left" w:pos="425"/>
        <w:tab w:val="left" w:pos="1701"/>
        <w:tab w:val="right" w:leader="dot" w:pos="9923"/>
      </w:tabs>
      <w:spacing w:before="240" w:after="120"/>
      <w:ind w:left="1701" w:hanging="1701"/>
    </w:pPr>
    <w:rPr>
      <w:rFonts w:eastAsia="Times New Roman" w:cs="Arial"/>
      <w:b/>
      <w:noProof/>
      <w:color w:val="002A5E"/>
      <w:spacing w:val="-6"/>
      <w:sz w:val="24"/>
      <w:lang w:eastAsia="ja-JP"/>
    </w:rPr>
  </w:style>
  <w:style w:type="paragraph" w:customStyle="1" w:styleId="Tabletextunbold">
    <w:name w:val="Table text unbold"/>
    <w:basedOn w:val="TableTextBold"/>
    <w:uiPriority w:val="39"/>
    <w:semiHidden/>
    <w:locked/>
    <w:rsid w:val="004977F0"/>
    <w:pPr>
      <w:tabs>
        <w:tab w:val="clear" w:pos="3402"/>
        <w:tab w:val="left" w:pos="357"/>
      </w:tabs>
      <w:spacing w:before="40" w:after="40"/>
    </w:pPr>
    <w:rPr>
      <w:rFonts w:eastAsia="Times New Roman" w:cs="Arial"/>
      <w:b w:val="0"/>
    </w:rPr>
  </w:style>
  <w:style w:type="paragraph" w:styleId="TOC2">
    <w:name w:val="toc 2"/>
    <w:aliases w:val="Table of Contents Level 2"/>
    <w:basedOn w:val="Normal"/>
    <w:next w:val="Normal"/>
    <w:autoRedefine/>
    <w:uiPriority w:val="39"/>
    <w:semiHidden/>
    <w:qFormat/>
    <w:rsid w:val="003F25ED"/>
    <w:pPr>
      <w:tabs>
        <w:tab w:val="left" w:pos="992"/>
        <w:tab w:val="right" w:leader="dot" w:pos="9923"/>
      </w:tabs>
      <w:spacing w:before="60"/>
      <w:ind w:left="992" w:hanging="567"/>
    </w:pPr>
    <w:rPr>
      <w:rFonts w:eastAsiaTheme="minorEastAsia"/>
      <w:noProof/>
      <w:color w:val="001E41" w:themeColor="accent1"/>
      <w:sz w:val="22"/>
      <w:lang w:eastAsia="en-GB"/>
    </w:rPr>
  </w:style>
  <w:style w:type="character" w:styleId="Hyperlink">
    <w:name w:val="Hyperlink"/>
    <w:basedOn w:val="DefaultParagraphFont"/>
    <w:uiPriority w:val="99"/>
    <w:locked/>
    <w:rsid w:val="0095184E"/>
    <w:rPr>
      <w:color w:val="001E41" w:themeColor="accent1"/>
      <w:u w:val="single"/>
    </w:rPr>
  </w:style>
  <w:style w:type="paragraph" w:styleId="TOC3">
    <w:name w:val="toc 3"/>
    <w:aliases w:val="Table of Contents Level 3"/>
    <w:basedOn w:val="Normal"/>
    <w:next w:val="Normal"/>
    <w:autoRedefine/>
    <w:uiPriority w:val="39"/>
    <w:semiHidden/>
    <w:qFormat/>
    <w:rsid w:val="00105004"/>
    <w:pPr>
      <w:tabs>
        <w:tab w:val="left" w:pos="992"/>
        <w:tab w:val="right" w:leader="dot" w:pos="9923"/>
      </w:tabs>
      <w:spacing w:before="60"/>
      <w:ind w:left="993" w:hanging="568"/>
    </w:pPr>
    <w:rPr>
      <w:rFonts w:eastAsiaTheme="majorEastAsia" w:cstheme="majorHAnsi"/>
      <w:noProof/>
      <w:color w:val="002A5E"/>
      <w:sz w:val="22"/>
      <w:szCs w:val="24"/>
    </w:rPr>
  </w:style>
  <w:style w:type="character" w:customStyle="1" w:styleId="Heading5Char">
    <w:name w:val="Heading 5 Char"/>
    <w:basedOn w:val="DefaultParagraphFont"/>
    <w:link w:val="Heading5"/>
    <w:uiPriority w:val="39"/>
    <w:semiHidden/>
    <w:rsid w:val="00C05D0F"/>
    <w:rPr>
      <w:rFonts w:asciiTheme="majorHAnsi" w:eastAsiaTheme="majorEastAsia" w:hAnsiTheme="majorHAnsi" w:cstheme="majorBidi"/>
      <w:color w:val="001E41" w:themeColor="accent1"/>
      <w:sz w:val="19"/>
    </w:rPr>
  </w:style>
  <w:style w:type="paragraph" w:styleId="TOCHeading">
    <w:name w:val="TOC Heading"/>
    <w:next w:val="Normal"/>
    <w:uiPriority w:val="30"/>
    <w:semiHidden/>
    <w:qFormat/>
    <w:rsid w:val="001B725E"/>
    <w:pPr>
      <w:keepLines/>
      <w:spacing w:before="480" w:after="0"/>
    </w:pPr>
    <w:rPr>
      <w:rFonts w:asciiTheme="majorHAnsi" w:eastAsiaTheme="majorEastAsia" w:hAnsiTheme="majorHAnsi" w:cstheme="majorBidi"/>
      <w:color w:val="63C532" w:themeColor="accent2"/>
      <w:sz w:val="40"/>
      <w:szCs w:val="28"/>
    </w:rPr>
  </w:style>
  <w:style w:type="paragraph" w:customStyle="1" w:styleId="Disclaimertext">
    <w:name w:val="Disclaimer text"/>
    <w:next w:val="BodyText"/>
    <w:uiPriority w:val="24"/>
    <w:rsid w:val="00EF192B"/>
    <w:pPr>
      <w:tabs>
        <w:tab w:val="left" w:pos="3402"/>
      </w:tabs>
      <w:spacing w:before="60" w:after="0" w:line="190" w:lineRule="exact"/>
    </w:pPr>
    <w:rPr>
      <w:rFonts w:eastAsia="Times New Roman" w:cs="Arial"/>
      <w:sz w:val="16"/>
      <w:szCs w:val="17"/>
    </w:rPr>
  </w:style>
  <w:style w:type="character" w:styleId="PlaceholderText">
    <w:name w:val="Placeholder Text"/>
    <w:basedOn w:val="DefaultParagraphFont"/>
    <w:uiPriority w:val="99"/>
    <w:semiHidden/>
    <w:locked/>
    <w:rsid w:val="00D77720"/>
    <w:rPr>
      <w:color w:val="808080"/>
    </w:rPr>
  </w:style>
  <w:style w:type="paragraph" w:customStyle="1" w:styleId="NumerallistRegular">
    <w:name w:val="Numeral list (Regular)"/>
    <w:basedOn w:val="LetteredlistRegular"/>
    <w:uiPriority w:val="15"/>
    <w:qFormat/>
    <w:rsid w:val="00953A48"/>
    <w:pPr>
      <w:numPr>
        <w:numId w:val="21"/>
      </w:numPr>
    </w:pPr>
  </w:style>
  <w:style w:type="paragraph" w:customStyle="1" w:styleId="NumerallistBold">
    <w:name w:val="Numeral list (Bold)"/>
    <w:basedOn w:val="LetteredlistBold"/>
    <w:uiPriority w:val="16"/>
    <w:qFormat/>
    <w:rsid w:val="00CD6C35"/>
    <w:pPr>
      <w:numPr>
        <w:numId w:val="20"/>
      </w:numPr>
    </w:pPr>
  </w:style>
  <w:style w:type="paragraph" w:customStyle="1" w:styleId="Sourcetext">
    <w:name w:val="Source text."/>
    <w:basedOn w:val="Normal"/>
    <w:uiPriority w:val="22"/>
    <w:qFormat/>
    <w:rsid w:val="001A51FE"/>
    <w:pPr>
      <w:spacing w:before="60" w:line="190" w:lineRule="exact"/>
    </w:pPr>
    <w:rPr>
      <w:sz w:val="16"/>
      <w:szCs w:val="17"/>
    </w:rPr>
  </w:style>
  <w:style w:type="paragraph" w:customStyle="1" w:styleId="Prussiannavyfootertextright">
    <w:name w:val="Prussian navy footer text (right)"/>
    <w:basedOn w:val="Normal"/>
    <w:uiPriority w:val="33"/>
    <w:qFormat/>
    <w:rsid w:val="0095184E"/>
    <w:pPr>
      <w:ind w:right="170"/>
      <w:jc w:val="right"/>
    </w:pPr>
    <w:rPr>
      <w:bCs/>
      <w:color w:val="001E41" w:themeColor="accent1"/>
      <w:sz w:val="16"/>
      <w:szCs w:val="16"/>
      <w:lang w:eastAsia="ja-JP"/>
    </w:rPr>
  </w:style>
  <w:style w:type="paragraph" w:customStyle="1" w:styleId="TabletextBold0">
    <w:name w:val="Table text (Bold)"/>
    <w:basedOn w:val="Tabletext"/>
    <w:uiPriority w:val="20"/>
    <w:qFormat/>
    <w:rsid w:val="00543CFC"/>
    <w:rPr>
      <w:b/>
      <w:bCs/>
      <w:color w:val="000000" w:themeColor="text1"/>
    </w:rPr>
  </w:style>
  <w:style w:type="paragraph" w:customStyle="1" w:styleId="LetteredlistRegular">
    <w:name w:val="Lettered list (Regular)"/>
    <w:uiPriority w:val="13"/>
    <w:rsid w:val="000172FF"/>
    <w:pPr>
      <w:numPr>
        <w:numId w:val="11"/>
      </w:numPr>
      <w:spacing w:after="120" w:line="240" w:lineRule="auto"/>
    </w:pPr>
    <w:rPr>
      <w:rFonts w:eastAsia="Times New Roman" w:cs="Arial"/>
      <w:color w:val="000000"/>
      <w:sz w:val="18"/>
      <w:lang w:eastAsia="ja-JP"/>
    </w:rPr>
  </w:style>
  <w:style w:type="paragraph" w:customStyle="1" w:styleId="LetteredlistBold">
    <w:name w:val="Lettered list (Bold)"/>
    <w:uiPriority w:val="14"/>
    <w:qFormat/>
    <w:rsid w:val="000172FF"/>
    <w:pPr>
      <w:numPr>
        <w:numId w:val="17"/>
      </w:numPr>
      <w:spacing w:after="120" w:line="240" w:lineRule="auto"/>
    </w:pPr>
    <w:rPr>
      <w:rFonts w:eastAsia="Times New Roman" w:cs="Arial"/>
      <w:b/>
      <w:bCs/>
      <w:color w:val="000000"/>
      <w:sz w:val="18"/>
      <w:szCs w:val="20"/>
      <w:lang w:eastAsia="ja-JP"/>
    </w:rPr>
  </w:style>
  <w:style w:type="paragraph" w:customStyle="1" w:styleId="BulletedtextRegular">
    <w:name w:val="Bulleted text (Regular)"/>
    <w:basedOn w:val="Normal"/>
    <w:uiPriority w:val="9"/>
    <w:qFormat/>
    <w:rsid w:val="005C0F02"/>
    <w:pPr>
      <w:numPr>
        <w:numId w:val="6"/>
      </w:numPr>
      <w:spacing w:after="120"/>
    </w:pPr>
    <w:rPr>
      <w:rFonts w:eastAsia="Times New Roman" w:cs="Arial"/>
      <w:sz w:val="18"/>
      <w:lang w:eastAsia="ja-JP"/>
    </w:rPr>
  </w:style>
  <w:style w:type="paragraph" w:customStyle="1" w:styleId="Bodytextforindentedparagraph">
    <w:name w:val="Body text for indented paragraph"/>
    <w:basedOn w:val="BodytextRegular"/>
    <w:qFormat/>
    <w:rsid w:val="006F71F5"/>
    <w:pPr>
      <w:ind w:left="425"/>
    </w:pPr>
    <w:rPr>
      <w:rFonts w:eastAsia="Times New Roman" w:cs="Arial"/>
    </w:rPr>
  </w:style>
  <w:style w:type="paragraph" w:customStyle="1" w:styleId="BulletedtextBold">
    <w:name w:val="Bulleted text (Bold)"/>
    <w:basedOn w:val="BulletedtextRegular"/>
    <w:uiPriority w:val="10"/>
    <w:qFormat/>
    <w:rsid w:val="00CD6C35"/>
    <w:rPr>
      <w:b/>
    </w:rPr>
  </w:style>
  <w:style w:type="paragraph" w:customStyle="1" w:styleId="NumberedlistRegular">
    <w:name w:val="Numbered list (Regular)"/>
    <w:basedOn w:val="Normal"/>
    <w:uiPriority w:val="12"/>
    <w:qFormat/>
    <w:rsid w:val="000172FF"/>
    <w:pPr>
      <w:numPr>
        <w:numId w:val="7"/>
      </w:numPr>
      <w:spacing w:after="120"/>
    </w:pPr>
    <w:rPr>
      <w:rFonts w:eastAsia="Times New Roman" w:cs="Arial"/>
      <w:sz w:val="18"/>
      <w:lang w:eastAsia="ja-JP"/>
    </w:rPr>
  </w:style>
  <w:style w:type="paragraph" w:customStyle="1" w:styleId="Paragraphheaderprussiannavy">
    <w:name w:val="Paragraph header prussian navy"/>
    <w:basedOn w:val="Normal"/>
    <w:next w:val="BodytextRegular"/>
    <w:uiPriority w:val="7"/>
    <w:qFormat/>
    <w:rsid w:val="0095184E"/>
    <w:pPr>
      <w:keepNext/>
      <w:spacing w:before="240" w:after="120"/>
    </w:pPr>
    <w:rPr>
      <w:rFonts w:ascii="Schroders Circular TT" w:hAnsi="Schroders Circular TT"/>
      <w:b/>
      <w:color w:val="001E41" w:themeColor="accent1"/>
      <w:sz w:val="20"/>
      <w:szCs w:val="24"/>
    </w:rPr>
  </w:style>
  <w:style w:type="paragraph" w:customStyle="1" w:styleId="Tabletext">
    <w:name w:val="Table text"/>
    <w:uiPriority w:val="19"/>
    <w:qFormat/>
    <w:rsid w:val="001A51FE"/>
    <w:pPr>
      <w:spacing w:before="60" w:after="60" w:line="240" w:lineRule="auto"/>
    </w:pPr>
    <w:rPr>
      <w:sz w:val="18"/>
      <w:szCs w:val="24"/>
    </w:rPr>
  </w:style>
  <w:style w:type="paragraph" w:customStyle="1" w:styleId="BodytextRegular">
    <w:name w:val="Body text (Regular)"/>
    <w:basedOn w:val="BodyText"/>
    <w:qFormat/>
    <w:rsid w:val="001A51FE"/>
    <w:rPr>
      <w:sz w:val="18"/>
      <w:szCs w:val="20"/>
    </w:rPr>
  </w:style>
  <w:style w:type="table" w:customStyle="1" w:styleId="Table">
    <w:name w:val="Table"/>
    <w:basedOn w:val="TableNormal"/>
    <w:uiPriority w:val="99"/>
    <w:locked/>
    <w:rsid w:val="00F805CD"/>
    <w:pPr>
      <w:spacing w:before="60" w:after="60" w:line="240" w:lineRule="auto"/>
    </w:pPr>
    <w:rPr>
      <w:sz w:val="18"/>
    </w:rPr>
    <w:tblPr>
      <w:tblStyleRowBandSize w:val="1"/>
      <w:tblStyleColBandSize w:val="1"/>
      <w:tblBorders>
        <w:top w:val="single" w:sz="2" w:space="0" w:color="404040" w:themeColor="text1" w:themeTint="BF"/>
        <w:bottom w:val="single" w:sz="2" w:space="0" w:color="404040" w:themeColor="text1" w:themeTint="BF"/>
        <w:insideH w:val="single" w:sz="2" w:space="0" w:color="404040" w:themeColor="text1" w:themeTint="BF"/>
      </w:tblBorders>
      <w:tblCellMar>
        <w:left w:w="74" w:type="dxa"/>
        <w:right w:w="74" w:type="dxa"/>
      </w:tblCellMar>
    </w:tblPr>
    <w:tcPr>
      <w:shd w:val="clear" w:color="auto" w:fill="auto"/>
      <w:vAlign w:val="center"/>
    </w:tcPr>
    <w:tblStylePr w:type="firstRow">
      <w:pPr>
        <w:wordWrap/>
        <w:spacing w:beforeLines="0" w:before="60" w:beforeAutospacing="0" w:afterLines="0" w:after="60" w:afterAutospacing="0" w:line="240" w:lineRule="auto"/>
      </w:pPr>
      <w:rPr>
        <w:rFonts w:asciiTheme="minorHAnsi" w:hAnsiTheme="minorHAnsi"/>
        <w:b/>
        <w:color w:val="auto"/>
        <w:sz w:val="18"/>
      </w:rPr>
      <w:tblPr/>
      <w:tcPr>
        <w:tcBorders>
          <w:top w:val="single" w:sz="2" w:space="0" w:color="404040" w:themeColor="text1" w:themeTint="BF"/>
          <w:left w:val="nil"/>
          <w:bottom w:val="single" w:sz="2" w:space="0" w:color="404040" w:themeColor="text1" w:themeTint="BF"/>
          <w:right w:val="nil"/>
          <w:insideH w:val="nil"/>
          <w:insideV w:val="nil"/>
          <w:tl2br w:val="nil"/>
          <w:tr2bl w:val="nil"/>
        </w:tcBorders>
        <w:shd w:val="clear" w:color="auto" w:fill="E5E8EC"/>
      </w:tcPr>
    </w:tblStylePr>
    <w:tblStylePr w:type="lastRow">
      <w:pPr>
        <w:wordWrap/>
        <w:spacing w:beforeLines="0" w:before="60" w:beforeAutospacing="0" w:afterLines="0" w:after="60" w:afterAutospacing="0" w:line="240" w:lineRule="auto"/>
      </w:pPr>
      <w:rPr>
        <w:rFonts w:asciiTheme="minorHAnsi" w:hAnsiTheme="minorHAnsi"/>
        <w:b/>
        <w:color w:val="auto"/>
        <w:sz w:val="18"/>
      </w:rPr>
      <w:tblPr/>
      <w:tcPr>
        <w:tcBorders>
          <w:top w:val="single" w:sz="2" w:space="0" w:color="404040" w:themeColor="text1" w:themeTint="BF"/>
          <w:left w:val="nil"/>
          <w:bottom w:val="single" w:sz="2" w:space="0" w:color="404040" w:themeColor="text1" w:themeTint="BF"/>
          <w:right w:val="nil"/>
          <w:insideH w:val="nil"/>
          <w:insideV w:val="nil"/>
          <w:tl2br w:val="nil"/>
          <w:tr2bl w:val="nil"/>
        </w:tcBorders>
        <w:shd w:val="clear" w:color="auto" w:fill="E5E8EC"/>
      </w:tcPr>
    </w:tblStylePr>
    <w:tblStylePr w:type="firstCol">
      <w:pPr>
        <w:wordWrap/>
        <w:spacing w:beforeLines="0" w:before="60" w:beforeAutospacing="0" w:afterLines="0" w:after="60" w:afterAutospacing="0" w:line="240" w:lineRule="auto"/>
        <w:jc w:val="left"/>
      </w:pPr>
      <w:rPr>
        <w:rFonts w:asciiTheme="minorHAnsi" w:hAnsiTheme="minorHAnsi"/>
        <w:b/>
        <w:color w:val="auto"/>
        <w:sz w:val="18"/>
      </w:rPr>
      <w:tblPr/>
      <w:tcPr>
        <w:shd w:val="clear" w:color="auto" w:fill="E5E8EC"/>
      </w:tcPr>
    </w:tblStylePr>
    <w:tblStylePr w:type="band1Vert">
      <w:tblPr/>
      <w:tcPr>
        <w:tcBorders>
          <w:top w:val="nil"/>
          <w:left w:val="nil"/>
          <w:bottom w:val="nil"/>
          <w:right w:val="nil"/>
          <w:insideH w:val="single" w:sz="4" w:space="0" w:color="001E41" w:themeColor="accent1"/>
          <w:insideV w:val="nil"/>
        </w:tcBorders>
      </w:tcPr>
    </w:tblStylePr>
    <w:tblStylePr w:type="band2Vert">
      <w:tblPr/>
      <w:tcPr>
        <w:tcBorders>
          <w:insideH w:val="single" w:sz="4" w:space="0" w:color="001E41" w:themeColor="accent1"/>
        </w:tcBorders>
      </w:tcPr>
    </w:tblStylePr>
    <w:tblStylePr w:type="band1Horz">
      <w:tblPr/>
      <w:tcPr>
        <w:tcBorders>
          <w:insideH w:val="nil"/>
        </w:tcBorders>
      </w:tcPr>
    </w:tblStylePr>
  </w:style>
  <w:style w:type="paragraph" w:customStyle="1" w:styleId="Level3heading">
    <w:name w:val="Level 3 heading"/>
    <w:basedOn w:val="Normal"/>
    <w:uiPriority w:val="23"/>
    <w:semiHidden/>
    <w:qFormat/>
    <w:rsid w:val="00664470"/>
    <w:pPr>
      <w:spacing w:before="120" w:after="120" w:line="300" w:lineRule="exact"/>
      <w:outlineLvl w:val="2"/>
    </w:pPr>
    <w:rPr>
      <w:rFonts w:asciiTheme="majorHAnsi" w:hAnsiTheme="majorHAnsi"/>
      <w:color w:val="A446BA" w:themeColor="text2"/>
      <w:sz w:val="24"/>
      <w:szCs w:val="20"/>
    </w:rPr>
  </w:style>
  <w:style w:type="paragraph" w:customStyle="1" w:styleId="Coverdate">
    <w:name w:val="Cover date"/>
    <w:basedOn w:val="Normal"/>
    <w:next w:val="BodyText"/>
    <w:uiPriority w:val="29"/>
    <w:qFormat/>
    <w:rsid w:val="001A51FE"/>
    <w:pPr>
      <w:spacing w:after="40"/>
    </w:pPr>
    <w:rPr>
      <w:rFonts w:ascii="Schroders Circular TT" w:hAnsi="Schroders Circular TT"/>
      <w:noProof/>
      <w:color w:val="FFFFFF" w:themeColor="background1"/>
      <w:sz w:val="24"/>
    </w:rPr>
  </w:style>
  <w:style w:type="paragraph" w:styleId="FootnoteText">
    <w:name w:val="footnote text"/>
    <w:aliases w:val="Footnote text"/>
    <w:basedOn w:val="Normal"/>
    <w:link w:val="FootnoteTextChar"/>
    <w:uiPriority w:val="23"/>
    <w:locked/>
    <w:rsid w:val="00B405C5"/>
    <w:pPr>
      <w:spacing w:before="60" w:line="190" w:lineRule="exact"/>
    </w:pPr>
    <w:rPr>
      <w:sz w:val="16"/>
      <w:szCs w:val="20"/>
    </w:rPr>
  </w:style>
  <w:style w:type="character" w:customStyle="1" w:styleId="FootnoteTextChar">
    <w:name w:val="Footnote Text Char"/>
    <w:aliases w:val="Footnote text Char"/>
    <w:basedOn w:val="DefaultParagraphFont"/>
    <w:link w:val="FootnoteText"/>
    <w:uiPriority w:val="23"/>
    <w:rsid w:val="00B405C5"/>
    <w:rPr>
      <w:sz w:val="16"/>
      <w:szCs w:val="20"/>
    </w:rPr>
  </w:style>
  <w:style w:type="character" w:styleId="FootnoteReference">
    <w:name w:val="footnote reference"/>
    <w:basedOn w:val="DefaultParagraphFont"/>
    <w:uiPriority w:val="99"/>
    <w:semiHidden/>
    <w:locked/>
    <w:rsid w:val="00D47DFF"/>
    <w:rPr>
      <w:vertAlign w:val="superscript"/>
    </w:rPr>
  </w:style>
  <w:style w:type="paragraph" w:customStyle="1" w:styleId="Tabletextbullet">
    <w:name w:val="Table text bullet"/>
    <w:basedOn w:val="Tabletext"/>
    <w:uiPriority w:val="21"/>
    <w:qFormat/>
    <w:rsid w:val="000E31CE"/>
    <w:pPr>
      <w:numPr>
        <w:numId w:val="23"/>
      </w:numPr>
      <w:ind w:left="284" w:hanging="284"/>
    </w:pPr>
  </w:style>
  <w:style w:type="numbering" w:customStyle="1" w:styleId="b17legalnumberedlist">
    <w:name w:val="b17 legal numbered list"/>
    <w:basedOn w:val="NoList"/>
    <w:uiPriority w:val="99"/>
    <w:locked/>
    <w:rsid w:val="00B7273A"/>
    <w:pPr>
      <w:numPr>
        <w:numId w:val="26"/>
      </w:numPr>
    </w:pPr>
  </w:style>
  <w:style w:type="paragraph" w:customStyle="1" w:styleId="Sub-bulletedtext">
    <w:name w:val="Sub-bulleted text"/>
    <w:basedOn w:val="BodytextRegular"/>
    <w:uiPriority w:val="11"/>
    <w:qFormat/>
    <w:rsid w:val="00953A48"/>
    <w:pPr>
      <w:numPr>
        <w:numId w:val="27"/>
      </w:numPr>
      <w:ind w:left="709" w:hanging="284"/>
    </w:pPr>
  </w:style>
  <w:style w:type="paragraph" w:customStyle="1" w:styleId="Multilevellist1">
    <w:name w:val="Multilevel list 1"/>
    <w:basedOn w:val="Normal"/>
    <w:next w:val="Multilevellistlevel2"/>
    <w:uiPriority w:val="3"/>
    <w:qFormat/>
    <w:rsid w:val="0095184E"/>
    <w:pPr>
      <w:keepNext/>
      <w:numPr>
        <w:numId w:val="35"/>
      </w:numPr>
      <w:tabs>
        <w:tab w:val="left" w:pos="3402"/>
      </w:tabs>
      <w:spacing w:before="240" w:after="120"/>
      <w:ind w:left="425" w:hanging="425"/>
      <w:outlineLvl w:val="0"/>
    </w:pPr>
    <w:rPr>
      <w:rFonts w:ascii="Schroders Circular TT" w:hAnsi="Schroders Circular TT"/>
      <w:color w:val="001E41" w:themeColor="accent1"/>
      <w:sz w:val="20"/>
    </w:rPr>
  </w:style>
  <w:style w:type="paragraph" w:customStyle="1" w:styleId="Multilevellistlevel2">
    <w:name w:val="Multilevel list level 2"/>
    <w:basedOn w:val="Normal"/>
    <w:next w:val="Multilevellistlevel3"/>
    <w:uiPriority w:val="5"/>
    <w:qFormat/>
    <w:rsid w:val="0095184E"/>
    <w:pPr>
      <w:keepNext/>
      <w:numPr>
        <w:ilvl w:val="1"/>
        <w:numId w:val="35"/>
      </w:numPr>
      <w:spacing w:before="120" w:after="120"/>
      <w:ind w:left="425" w:hanging="425"/>
      <w:outlineLvl w:val="1"/>
    </w:pPr>
    <w:rPr>
      <w:rFonts w:ascii="Schroders Circular TT" w:hAnsi="Schroders Circular TT"/>
      <w:color w:val="001E41" w:themeColor="accent1"/>
      <w:sz w:val="20"/>
    </w:rPr>
  </w:style>
  <w:style w:type="paragraph" w:customStyle="1" w:styleId="Multilevellistlevel3">
    <w:name w:val="Multilevel list level 3"/>
    <w:basedOn w:val="BodytextRegular"/>
    <w:uiPriority w:val="6"/>
    <w:qFormat/>
    <w:rsid w:val="00953A48"/>
    <w:pPr>
      <w:numPr>
        <w:ilvl w:val="2"/>
        <w:numId w:val="35"/>
      </w:numPr>
    </w:pPr>
  </w:style>
  <w:style w:type="paragraph" w:customStyle="1" w:styleId="Multilevellistlevel4">
    <w:name w:val="Multilevel list level 4"/>
    <w:basedOn w:val="BodytextRegular"/>
    <w:uiPriority w:val="7"/>
    <w:qFormat/>
    <w:rsid w:val="00953A48"/>
    <w:pPr>
      <w:numPr>
        <w:ilvl w:val="3"/>
        <w:numId w:val="35"/>
      </w:numPr>
    </w:pPr>
  </w:style>
  <w:style w:type="table" w:styleId="LightShading-Accent4">
    <w:name w:val="Light Shading Accent 4"/>
    <w:basedOn w:val="TableNormal"/>
    <w:uiPriority w:val="60"/>
    <w:locked/>
    <w:rsid w:val="00251481"/>
    <w:pPr>
      <w:spacing w:after="0" w:line="240" w:lineRule="auto"/>
    </w:pPr>
    <w:rPr>
      <w:color w:val="5D2964" w:themeColor="accent4" w:themeShade="BF"/>
    </w:rPr>
    <w:tblPr>
      <w:tblStyleRowBandSize w:val="1"/>
      <w:tblStyleColBandSize w:val="1"/>
      <w:tblBorders>
        <w:top w:val="single" w:sz="8" w:space="0" w:color="7D3787" w:themeColor="accent4"/>
        <w:bottom w:val="single" w:sz="8" w:space="0" w:color="7D3787" w:themeColor="accent4"/>
      </w:tblBorders>
    </w:tblPr>
    <w:tblStylePr w:type="firstRow">
      <w:pPr>
        <w:spacing w:before="0" w:after="0" w:line="240" w:lineRule="auto"/>
      </w:pPr>
      <w:rPr>
        <w:b/>
        <w:bCs/>
      </w:rPr>
      <w:tblPr/>
      <w:tcPr>
        <w:tcBorders>
          <w:top w:val="single" w:sz="8" w:space="0" w:color="7D3787" w:themeColor="accent4"/>
          <w:left w:val="nil"/>
          <w:bottom w:val="single" w:sz="8" w:space="0" w:color="7D3787" w:themeColor="accent4"/>
          <w:right w:val="nil"/>
          <w:insideH w:val="nil"/>
          <w:insideV w:val="nil"/>
        </w:tcBorders>
      </w:tcPr>
    </w:tblStylePr>
    <w:tblStylePr w:type="lastRow">
      <w:pPr>
        <w:spacing w:before="0" w:after="0" w:line="240" w:lineRule="auto"/>
      </w:pPr>
      <w:rPr>
        <w:b/>
        <w:bCs/>
      </w:rPr>
      <w:tblPr/>
      <w:tcPr>
        <w:tcBorders>
          <w:top w:val="single" w:sz="8" w:space="0" w:color="7D3787" w:themeColor="accent4"/>
          <w:left w:val="nil"/>
          <w:bottom w:val="single" w:sz="8" w:space="0" w:color="7D378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6E8" w:themeFill="accent4" w:themeFillTint="3F"/>
      </w:tcPr>
    </w:tblStylePr>
    <w:tblStylePr w:type="band1Horz">
      <w:tblPr/>
      <w:tcPr>
        <w:tcBorders>
          <w:left w:val="nil"/>
          <w:right w:val="nil"/>
          <w:insideH w:val="nil"/>
          <w:insideV w:val="nil"/>
        </w:tcBorders>
        <w:shd w:val="clear" w:color="auto" w:fill="E3C6E8" w:themeFill="accent4" w:themeFillTint="3F"/>
      </w:tcPr>
    </w:tblStylePr>
  </w:style>
  <w:style w:type="paragraph" w:customStyle="1" w:styleId="Chartandtabletitle">
    <w:name w:val="Chart and table title"/>
    <w:basedOn w:val="Paragraphheaderprussiannavy"/>
    <w:uiPriority w:val="17"/>
    <w:qFormat/>
    <w:rsid w:val="0046623B"/>
    <w:pPr>
      <w:spacing w:after="60"/>
    </w:pPr>
  </w:style>
  <w:style w:type="character" w:styleId="IntenseReference">
    <w:name w:val="Intense Reference"/>
    <w:basedOn w:val="DefaultParagraphFont"/>
    <w:uiPriority w:val="32"/>
    <w:semiHidden/>
    <w:qFormat/>
    <w:locked/>
    <w:rsid w:val="00AD758E"/>
    <w:rPr>
      <w:b/>
      <w:bCs/>
      <w:smallCaps/>
      <w:color w:val="0074B7" w:themeColor="accent3"/>
      <w:spacing w:val="5"/>
      <w:u w:val="single"/>
    </w:rPr>
  </w:style>
  <w:style w:type="character" w:styleId="SubtleReference">
    <w:name w:val="Subtle Reference"/>
    <w:basedOn w:val="DefaultParagraphFont"/>
    <w:uiPriority w:val="31"/>
    <w:semiHidden/>
    <w:qFormat/>
    <w:locked/>
    <w:rsid w:val="00AD758E"/>
    <w:rPr>
      <w:smallCaps/>
      <w:color w:val="0074B7" w:themeColor="accent3"/>
      <w:u w:val="single"/>
    </w:rPr>
  </w:style>
  <w:style w:type="character" w:styleId="FollowedHyperlink">
    <w:name w:val="FollowedHyperlink"/>
    <w:basedOn w:val="DefaultParagraphFont"/>
    <w:uiPriority w:val="99"/>
    <w:semiHidden/>
    <w:locked/>
    <w:rsid w:val="00AD758E"/>
    <w:rPr>
      <w:color w:val="0074B7" w:themeColor="accent3"/>
      <w:u w:val="single"/>
    </w:rPr>
  </w:style>
  <w:style w:type="table" w:styleId="GridTable1Light">
    <w:name w:val="Grid Table 1 Light"/>
    <w:basedOn w:val="TableNormal"/>
    <w:uiPriority w:val="46"/>
    <w:rsid w:val="004448D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448D5"/>
    <w:pPr>
      <w:spacing w:after="0" w:line="240" w:lineRule="auto"/>
    </w:pPr>
    <w:tblPr>
      <w:tblStyleRowBandSize w:val="1"/>
      <w:tblStyleColBandSize w:val="1"/>
      <w:tblBorders>
        <w:top w:val="single" w:sz="4" w:space="0" w:color="7CCEFF" w:themeColor="accent3" w:themeTint="66"/>
        <w:left w:val="single" w:sz="4" w:space="0" w:color="7CCEFF" w:themeColor="accent3" w:themeTint="66"/>
        <w:bottom w:val="single" w:sz="4" w:space="0" w:color="7CCEFF" w:themeColor="accent3" w:themeTint="66"/>
        <w:right w:val="single" w:sz="4" w:space="0" w:color="7CCEFF" w:themeColor="accent3" w:themeTint="66"/>
        <w:insideH w:val="single" w:sz="4" w:space="0" w:color="7CCEFF" w:themeColor="accent3" w:themeTint="66"/>
        <w:insideV w:val="single" w:sz="4" w:space="0" w:color="7CCEFF" w:themeColor="accent3" w:themeTint="66"/>
      </w:tblBorders>
    </w:tblPr>
    <w:tblStylePr w:type="firstRow">
      <w:rPr>
        <w:b/>
        <w:bCs/>
      </w:rPr>
      <w:tblPr/>
      <w:tcPr>
        <w:tcBorders>
          <w:bottom w:val="single" w:sz="12" w:space="0" w:color="3AB6FF" w:themeColor="accent3" w:themeTint="99"/>
        </w:tcBorders>
      </w:tcPr>
    </w:tblStylePr>
    <w:tblStylePr w:type="lastRow">
      <w:rPr>
        <w:b/>
        <w:bCs/>
      </w:rPr>
      <w:tblPr/>
      <w:tcPr>
        <w:tcBorders>
          <w:top w:val="double" w:sz="2" w:space="0" w:color="3AB6FF" w:themeColor="accent3" w:themeTint="99"/>
        </w:tcBorders>
      </w:tcPr>
    </w:tblStylePr>
    <w:tblStylePr w:type="firstCol">
      <w:rPr>
        <w:b/>
        <w:bCs/>
      </w:rPr>
    </w:tblStylePr>
    <w:tblStylePr w:type="lastCol">
      <w:rPr>
        <w:b/>
        <w:bCs/>
      </w:rPr>
    </w:tblStylePr>
  </w:style>
  <w:style w:type="table" w:styleId="PlainTable5">
    <w:name w:val="Plain Table 5"/>
    <w:basedOn w:val="TableNormal"/>
    <w:uiPriority w:val="45"/>
    <w:rsid w:val="00A70B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isclaimer">
    <w:name w:val="Cover disclaimer"/>
    <w:basedOn w:val="Normal"/>
    <w:uiPriority w:val="26"/>
    <w:qFormat/>
    <w:rsid w:val="0095184E"/>
    <w:pPr>
      <w:tabs>
        <w:tab w:val="center" w:pos="4513"/>
        <w:tab w:val="right" w:pos="9026"/>
      </w:tabs>
      <w:spacing w:after="40"/>
    </w:pPr>
    <w:rPr>
      <w:rFonts w:cstheme="minorHAnsi"/>
      <w:noProof/>
      <w:color w:val="FFFFFF" w:themeColor="background1"/>
      <w:sz w:val="17"/>
      <w:szCs w:val="18"/>
    </w:rPr>
  </w:style>
  <w:style w:type="paragraph" w:customStyle="1" w:styleId="BodytextBold">
    <w:name w:val="Body text (Bold)"/>
    <w:basedOn w:val="BodytextRegular"/>
    <w:uiPriority w:val="1"/>
    <w:qFormat/>
    <w:rsid w:val="001A51FE"/>
    <w:rPr>
      <w:b/>
    </w:rPr>
  </w:style>
  <w:style w:type="paragraph" w:customStyle="1" w:styleId="NumberedlistBold">
    <w:name w:val="Numbered list (Bold)"/>
    <w:basedOn w:val="NumberedlistRegular"/>
    <w:uiPriority w:val="12"/>
    <w:qFormat/>
    <w:rsid w:val="000172FF"/>
    <w:rPr>
      <w:b/>
    </w:rPr>
  </w:style>
  <w:style w:type="paragraph" w:styleId="Header">
    <w:name w:val="header"/>
    <w:basedOn w:val="Normal"/>
    <w:link w:val="HeaderChar"/>
    <w:uiPriority w:val="99"/>
    <w:unhideWhenUsed/>
    <w:rsid w:val="000172FF"/>
    <w:pPr>
      <w:tabs>
        <w:tab w:val="center" w:pos="4513"/>
        <w:tab w:val="right" w:pos="9026"/>
      </w:tabs>
    </w:pPr>
    <w:rPr>
      <w:sz w:val="18"/>
    </w:rPr>
  </w:style>
  <w:style w:type="character" w:customStyle="1" w:styleId="HeaderChar">
    <w:name w:val="Header Char"/>
    <w:basedOn w:val="DefaultParagraphFont"/>
    <w:link w:val="Header"/>
    <w:uiPriority w:val="99"/>
    <w:rsid w:val="000172FF"/>
    <w:rPr>
      <w:sz w:val="18"/>
    </w:rPr>
  </w:style>
  <w:style w:type="paragraph" w:customStyle="1" w:styleId="Tabletextsub-bullet">
    <w:name w:val="Table text sub-bullet"/>
    <w:basedOn w:val="Tabletextbullet"/>
    <w:uiPriority w:val="21"/>
    <w:qFormat/>
    <w:rsid w:val="002D6067"/>
    <w:pPr>
      <w:ind w:left="568"/>
    </w:pPr>
  </w:style>
  <w:style w:type="character" w:styleId="UnresolvedMention">
    <w:name w:val="Unresolved Mention"/>
    <w:basedOn w:val="DefaultParagraphFont"/>
    <w:uiPriority w:val="99"/>
    <w:semiHidden/>
    <w:rsid w:val="00E76134"/>
    <w:rPr>
      <w:color w:val="605E5C"/>
      <w:shd w:val="clear" w:color="auto" w:fill="E1DFDD"/>
    </w:rPr>
  </w:style>
  <w:style w:type="paragraph" w:styleId="Revision">
    <w:name w:val="Revision"/>
    <w:hidden/>
    <w:uiPriority w:val="99"/>
    <w:semiHidden/>
    <w:rsid w:val="00156A61"/>
    <w:pPr>
      <w:spacing w:after="0" w:line="240" w:lineRule="auto"/>
    </w:pPr>
    <w:rPr>
      <w:sz w:val="19"/>
    </w:rPr>
  </w:style>
  <w:style w:type="paragraph" w:styleId="Footer">
    <w:name w:val="footer"/>
    <w:basedOn w:val="Normal"/>
    <w:link w:val="FooterChar"/>
    <w:uiPriority w:val="99"/>
    <w:unhideWhenUsed/>
    <w:qFormat/>
    <w:rsid w:val="000172FF"/>
    <w:pPr>
      <w:tabs>
        <w:tab w:val="center" w:pos="4680"/>
        <w:tab w:val="right" w:pos="9360"/>
      </w:tabs>
    </w:pPr>
    <w:rPr>
      <w:sz w:val="18"/>
    </w:rPr>
  </w:style>
  <w:style w:type="character" w:customStyle="1" w:styleId="FooterChar">
    <w:name w:val="Footer Char"/>
    <w:basedOn w:val="DefaultParagraphFont"/>
    <w:link w:val="Footer"/>
    <w:uiPriority w:val="99"/>
    <w:rsid w:val="000172FF"/>
    <w:rPr>
      <w:sz w:val="18"/>
    </w:rPr>
  </w:style>
  <w:style w:type="paragraph" w:styleId="CommentText">
    <w:name w:val="annotation text"/>
    <w:basedOn w:val="Normal"/>
    <w:link w:val="CommentTextChar"/>
    <w:uiPriority w:val="99"/>
    <w:locked/>
    <w:rsid w:val="004D385C"/>
    <w:rPr>
      <w:sz w:val="20"/>
      <w:szCs w:val="20"/>
    </w:rPr>
  </w:style>
  <w:style w:type="character" w:customStyle="1" w:styleId="CommentTextChar">
    <w:name w:val="Comment Text Char"/>
    <w:basedOn w:val="DefaultParagraphFont"/>
    <w:link w:val="CommentText"/>
    <w:uiPriority w:val="99"/>
    <w:rsid w:val="004D385C"/>
    <w:rPr>
      <w:sz w:val="20"/>
      <w:szCs w:val="20"/>
    </w:rPr>
  </w:style>
  <w:style w:type="character" w:styleId="CommentReference">
    <w:name w:val="annotation reference"/>
    <w:basedOn w:val="DefaultParagraphFont"/>
    <w:uiPriority w:val="99"/>
    <w:semiHidden/>
    <w:locked/>
    <w:rsid w:val="004D385C"/>
    <w:rPr>
      <w:sz w:val="16"/>
      <w:szCs w:val="16"/>
    </w:rPr>
  </w:style>
  <w:style w:type="paragraph" w:customStyle="1" w:styleId="Paragraphsubtitledeepcerulean">
    <w:name w:val="Paragraph subtitle deep cerulean"/>
    <w:basedOn w:val="BodyText"/>
    <w:next w:val="BodytextRegular"/>
    <w:uiPriority w:val="8"/>
    <w:qFormat/>
    <w:rsid w:val="0095184E"/>
    <w:pPr>
      <w:keepNext/>
      <w:spacing w:before="120"/>
    </w:pPr>
    <w:rPr>
      <w:rFonts w:ascii="Schroders Circular TT" w:hAnsi="Schroders Circular TT"/>
      <w:color w:val="00A2B5" w:themeColor="background2"/>
      <w:sz w:val="20"/>
      <w:szCs w:val="24"/>
    </w:rPr>
  </w:style>
  <w:style w:type="paragraph" w:customStyle="1" w:styleId="PageNumber1">
    <w:name w:val="Page Number1"/>
    <w:basedOn w:val="Normal"/>
    <w:uiPriority w:val="39"/>
    <w:qFormat/>
    <w:rsid w:val="0095184E"/>
    <w:pPr>
      <w:jc w:val="right"/>
    </w:pPr>
    <w:rPr>
      <w:b/>
      <w:bCs/>
      <w:color w:val="001E41" w:themeColor="accent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35420">
      <w:bodyDiv w:val="1"/>
      <w:marLeft w:val="0"/>
      <w:marRight w:val="0"/>
      <w:marTop w:val="0"/>
      <w:marBottom w:val="0"/>
      <w:divBdr>
        <w:top w:val="none" w:sz="0" w:space="0" w:color="auto"/>
        <w:left w:val="none" w:sz="0" w:space="0" w:color="auto"/>
        <w:bottom w:val="none" w:sz="0" w:space="0" w:color="auto"/>
        <w:right w:val="none" w:sz="0" w:space="0" w:color="auto"/>
      </w:divBdr>
    </w:div>
    <w:div w:id="937451031">
      <w:bodyDiv w:val="1"/>
      <w:marLeft w:val="0"/>
      <w:marRight w:val="0"/>
      <w:marTop w:val="0"/>
      <w:marBottom w:val="0"/>
      <w:divBdr>
        <w:top w:val="none" w:sz="0" w:space="0" w:color="auto"/>
        <w:left w:val="none" w:sz="0" w:space="0" w:color="auto"/>
        <w:bottom w:val="none" w:sz="0" w:space="0" w:color="auto"/>
        <w:right w:val="none" w:sz="0" w:space="0" w:color="auto"/>
      </w:divBdr>
      <w:divsChild>
        <w:div w:id="1033768715">
          <w:marLeft w:val="403"/>
          <w:marRight w:val="0"/>
          <w:marTop w:val="40"/>
          <w:marBottom w:val="40"/>
          <w:divBdr>
            <w:top w:val="none" w:sz="0" w:space="0" w:color="auto"/>
            <w:left w:val="none" w:sz="0" w:space="0" w:color="auto"/>
            <w:bottom w:val="none" w:sz="0" w:space="0" w:color="auto"/>
            <w:right w:val="none" w:sz="0" w:space="0" w:color="auto"/>
          </w:divBdr>
        </w:div>
      </w:divsChild>
    </w:div>
    <w:div w:id="1211841490">
      <w:bodyDiv w:val="1"/>
      <w:marLeft w:val="0"/>
      <w:marRight w:val="0"/>
      <w:marTop w:val="0"/>
      <w:marBottom w:val="0"/>
      <w:divBdr>
        <w:top w:val="none" w:sz="0" w:space="0" w:color="auto"/>
        <w:left w:val="none" w:sz="0" w:space="0" w:color="auto"/>
        <w:bottom w:val="none" w:sz="0" w:space="0" w:color="auto"/>
        <w:right w:val="none" w:sz="0" w:space="0" w:color="auto"/>
      </w:divBdr>
    </w:div>
    <w:div w:id="1284388970">
      <w:bodyDiv w:val="1"/>
      <w:marLeft w:val="0"/>
      <w:marRight w:val="0"/>
      <w:marTop w:val="0"/>
      <w:marBottom w:val="0"/>
      <w:divBdr>
        <w:top w:val="none" w:sz="0" w:space="0" w:color="auto"/>
        <w:left w:val="none" w:sz="0" w:space="0" w:color="auto"/>
        <w:bottom w:val="none" w:sz="0" w:space="0" w:color="auto"/>
        <w:right w:val="none" w:sz="0" w:space="0" w:color="auto"/>
      </w:divBdr>
    </w:div>
    <w:div w:id="182395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bin"/></Relationships>
</file>

<file path=word/_rels/footer2.xml.rels><?xml version="1.0" encoding="UTF-8" standalone="yes"?>
<Relationships xmlns="http://schemas.openxmlformats.org/package/2006/relationships"><Relationship Id="rId1" Type="http://schemas.openxmlformats.org/officeDocument/2006/relationships/image" Target="media/image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zelal\AppData\Local\Temp\4ac7ef65-448c-41f7-a179-596e72978864_transfer%20(4).zip.864\Schroders_Fund%20Factsheet_A4_Temp_V2.dotx" TargetMode="External"/></Relationships>
</file>

<file path=word/theme/theme1.xml><?xml version="1.0" encoding="utf-8"?>
<a:theme xmlns:a="http://schemas.openxmlformats.org/drawingml/2006/main" name="Core">
  <a:themeElements>
    <a:clrScheme name="Schroders template latest">
      <a:dk1>
        <a:srgbClr val="000000"/>
      </a:dk1>
      <a:lt1>
        <a:srgbClr val="FFFFFF"/>
      </a:lt1>
      <a:dk2>
        <a:srgbClr val="A446BA"/>
      </a:dk2>
      <a:lt2>
        <a:srgbClr val="00A2B5"/>
      </a:lt2>
      <a:accent1>
        <a:srgbClr val="001E41"/>
      </a:accent1>
      <a:accent2>
        <a:srgbClr val="63C532"/>
      </a:accent2>
      <a:accent3>
        <a:srgbClr val="0074B7"/>
      </a:accent3>
      <a:accent4>
        <a:srgbClr val="7D3787"/>
      </a:accent4>
      <a:accent5>
        <a:srgbClr val="BAE659"/>
      </a:accent5>
      <a:accent6>
        <a:srgbClr val="00796D"/>
      </a:accent6>
      <a:hlink>
        <a:srgbClr val="0074B7"/>
      </a:hlink>
      <a:folHlink>
        <a:srgbClr val="00A2B5"/>
      </a:folHlink>
    </a:clrScheme>
    <a:fontScheme name="Schroders Word">
      <a:majorFont>
        <a:latin typeface="Schroders Circular TT"/>
        <a:ea typeface=""/>
        <a:cs typeface=""/>
      </a:majorFont>
      <a:minorFont>
        <a:latin typeface="No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rtlCol="0" anchor="ctr"/>
      <a:lstStyle>
        <a:defPPr algn="ctr">
          <a:defRPr sz="1200" dirty="0"/>
        </a:defPPr>
      </a:lstStyle>
      <a:style>
        <a:lnRef idx="2">
          <a:schemeClr val="accent1">
            <a:shade val="50000"/>
          </a:schemeClr>
        </a:lnRef>
        <a:fillRef idx="1">
          <a:schemeClr val="accent1"/>
        </a:fillRef>
        <a:effectRef idx="0">
          <a:schemeClr val="accent1"/>
        </a:effectRef>
        <a:fontRef idx="minor">
          <a:schemeClr val="lt1"/>
        </a:fontRef>
      </a:style>
    </a:spDef>
    <a:lnDef>
      <a:spPr>
        <a:noFill/>
        <a:ln w="9525">
          <a:solidFill>
            <a:schemeClr val="tx1"/>
          </a:solidFill>
          <a:headEnd type="none" w="med" len="med"/>
          <a:tailEnd type="none" w="med" len="med"/>
        </a:ln>
      </a:spPr>
      <a:bodyPr/>
      <a:lstStyle/>
      <a:style>
        <a:lnRef idx="2">
          <a:schemeClr val="accent1">
            <a:shade val="50000"/>
          </a:schemeClr>
        </a:lnRef>
        <a:fillRef idx="1">
          <a:schemeClr val="accent1"/>
        </a:fillRef>
        <a:effectRef idx="0">
          <a:schemeClr val="accent1"/>
        </a:effectRef>
        <a:fontRef idx="minor">
          <a:schemeClr val="lt1"/>
        </a:fontRef>
      </a:style>
    </a:lnDef>
    <a:txDef>
      <a:spPr>
        <a:noFill/>
      </a:spPr>
      <a:bodyPr wrap="square" lIns="0" tIns="0" rIns="0" bIns="0" rtlCol="0">
        <a:spAutoFit/>
      </a:bodyPr>
      <a:lstStyle>
        <a:defPPr algn="l">
          <a:defRPr sz="1400" dirty="0" err="1" smtClean="0">
            <a:latin typeface="+mn-lt"/>
          </a:defRPr>
        </a:defPPr>
      </a:lstStyle>
    </a:txDef>
  </a:objectDefaults>
  <a:extraClrSchemeLst/>
  <a:custClrLst>
    <a:custClr name="Prussian Navy">
      <a:srgbClr val="001E41"/>
    </a:custClr>
    <a:custClr name="Bright blue">
      <a:srgbClr val="0074B7"/>
    </a:custClr>
    <a:custClr name="Deep Cerulean">
      <a:srgbClr val="00A2B5"/>
    </a:custClr>
    <a:custClr name="Dark green">
      <a:srgbClr val="00796D"/>
    </a:custClr>
    <a:custClr name="Mid green">
      <a:srgbClr val="63C532"/>
    </a:custClr>
    <a:custClr name="Light green">
      <a:srgbClr val="BAE659"/>
    </a:custClr>
    <a:custClr name="Dark purple">
      <a:srgbClr val="4F3398"/>
    </a:custClr>
    <a:custClr name="Mid purple">
      <a:srgbClr val="7D3787"/>
    </a:custClr>
    <a:custClr name="Light purple">
      <a:srgbClr val="A446BA"/>
    </a:custClr>
    <a:custClr name="Dark pink">
      <a:srgbClr val="B71962"/>
    </a:custClr>
    <a:custClr name="Mid pink">
      <a:srgbClr val="DF536A"/>
    </a:custClr>
    <a:custClr name="Light pink">
      <a:srgbClr val="FF90A1"/>
    </a:custClr>
    <a:custClr name="Dark orange">
      <a:srgbClr val="EA5204"/>
    </a:custClr>
    <a:custClr name="Mid orange">
      <a:srgbClr val="F8A908"/>
    </a:custClr>
    <a:custClr name="Light orange">
      <a:srgbClr val="FFDC53"/>
    </a:custClr>
    <a:custClr name="Red">
      <a:srgbClr val="E00716"/>
    </a:custClr>
    <a:custClr name="Light Grey highlight">
      <a:srgbClr val="DCE1E5"/>
    </a:custClr>
  </a:custClrLst>
  <a:extLst>
    <a:ext uri="{05A4C25C-085E-4340-85A3-A5531E510DB2}">
      <thm15:themeFamily xmlns:thm15="http://schemas.microsoft.com/office/thememl/2012/main" name="Core" id="{FC937D77-274E-48BF-B222-0FE8C3B8DE7B}" vid="{F68DEEAB-50A4-40AE-8C56-9FF131A8214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AllExternalAdhocVariableMappings/>
</file>

<file path=customXml/itemProps1.xml><?xml version="1.0" encoding="utf-8"?>
<ds:datastoreItem xmlns:ds="http://schemas.openxmlformats.org/officeDocument/2006/customXml" ds:itemID="{3F4C26D8-E7D8-4FC6-8408-300B19E64C06}">
  <ds:schemaRefs/>
</ds:datastoreItem>
</file>

<file path=docProps/app.xml><?xml version="1.0" encoding="utf-8"?>
<Properties xmlns="http://schemas.openxmlformats.org/officeDocument/2006/extended-properties" xmlns:vt="http://schemas.openxmlformats.org/officeDocument/2006/docPropsVTypes">
  <Template>Schroders_Fund Factsheet_A4_Temp_V2</Template>
  <TotalTime>2</TotalTime>
  <Pages>7</Pages>
  <Words>4396</Words>
  <Characters>24267</Characters>
  <Application>Microsoft Office Word</Application>
  <DocSecurity>0</DocSecurity>
  <Lines>379</Lines>
  <Paragraphs>187</Paragraphs>
  <ScaleCrop>false</ScaleCrop>
  <HeadingPairs>
    <vt:vector size="2" baseType="variant">
      <vt:variant>
        <vt:lpstr>Title</vt:lpstr>
      </vt:variant>
      <vt:variant>
        <vt:i4>1</vt:i4>
      </vt:variant>
    </vt:vector>
  </HeadingPairs>
  <TitlesOfParts>
    <vt:vector size="1" baseType="lpstr">
      <vt:lpstr>[[fundname]]</vt:lpstr>
    </vt:vector>
  </TitlesOfParts>
  <Company>Schroders Investment Management</Company>
  <LinksUpToDate>false</LinksUpToDate>
  <CharactersWithSpaces>28476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[[fundname]]</dc:title>
  <dc:subject/>
  <dc:creator>Sizeland, Lisa</dc:creator>
  <cp:keywords/>
  <dc:description/>
  <cp:lastModifiedBy>Bailey, Connor</cp:lastModifiedBy>
  <cp:revision>2</cp:revision>
  <cp:lastPrinted>2025-02-25T16:54:00Z</cp:lastPrinted>
  <dcterms:created xsi:type="dcterms:W3CDTF">2026-05-21T13:06:00Z</dcterms:created>
  <dcterms:modified xsi:type="dcterms:W3CDTF">2026-05-21T13:06:00Z</dcterms:modified>
  <cp:category>Document title with one line</cp:category>
  <cp:contentStatus>[Insert a Date]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0x010100A8101AE86B09AA42911FCC6E265D4503</vt:lpwstr>
  </property>
</Properties>
</file>