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5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59"/>
      </w:tblGrid>
      <w:tr w:rsidR="00E20CFB" w:rsidRPr="00A23F93" w14:paraId="3E8A9E94" w14:textId="77777777" w:rsidTr="00DA6343">
        <w:trPr>
          <w:trHeight w:val="950"/>
        </w:trPr>
        <w:tc>
          <w:tcPr>
            <w:tcW w:w="8559" w:type="dxa"/>
            <w:tcMar>
              <w:left w:w="0" w:type="dxa"/>
              <w:right w:w="0" w:type="dxa"/>
            </w:tcMar>
            <w:vAlign w:val="bottom"/>
          </w:tcPr>
          <w:p w14:paraId="5049E95E" w14:textId="6C8FC322" w:rsidR="00E20CFB" w:rsidRPr="00A23F93" w:rsidRDefault="004A6834" w:rsidP="00236BD4">
            <w:pPr>
              <w:pStyle w:val="Documenttitle"/>
              <w:framePr w:hSpace="181" w:wrap="notBeside" w:x="-5" w:anchorLock="1"/>
              <w:rPr>
                <w:lang w:val="en-GB"/>
              </w:rPr>
            </w:pPr>
            <w:r w:rsidRPr="00A23F93">
              <w:rPr>
                <w:noProof/>
                <w:lang w:val="en-GB"/>
              </w:rPr>
              <mc:AlternateContent>
                <mc:Choice Requires="wps">
                  <w:drawing>
                    <wp:anchor distT="0" distB="0" distL="114300" distR="114300" simplePos="0" relativeHeight="251658241" behindDoc="0" locked="0" layoutInCell="1" allowOverlap="1" wp14:anchorId="5EE7104E" wp14:editId="616964E3">
                      <wp:simplePos x="0" y="0"/>
                      <wp:positionH relativeFrom="column">
                        <wp:posOffset>-1843</wp:posOffset>
                      </wp:positionH>
                      <wp:positionV relativeFrom="paragraph">
                        <wp:posOffset>45786</wp:posOffset>
                      </wp:positionV>
                      <wp:extent cx="0" cy="605860"/>
                      <wp:effectExtent l="0" t="0" r="38100" b="22860"/>
                      <wp:wrapNone/>
                      <wp:docPr id="842212949" name="Straight Connector 7"/>
                      <wp:cNvGraphicFramePr/>
                      <a:graphic xmlns:a="http://schemas.openxmlformats.org/drawingml/2006/main">
                        <a:graphicData uri="http://schemas.microsoft.com/office/word/2010/wordprocessingShape">
                          <wps:wsp>
                            <wps:cNvCnPr/>
                            <wps:spPr>
                              <a:xfrm>
                                <a:off x="0" y="0"/>
                                <a:ext cx="0" cy="605860"/>
                              </a:xfrm>
                              <a:prstGeom prst="line">
                                <a:avLst/>
                              </a:prstGeom>
                              <a:ln w="12700">
                                <a:solidFill>
                                  <a:schemeClr val="bg2"/>
                                </a:solidFill>
                                <a:headEnd type="none" w="med" len="med"/>
                                <a:tailEnd type="none" w="med" len="med"/>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line xmlns:w14="http://schemas.microsoft.com/office/word/2010/wordml" xmlns:o="urn:schemas-microsoft-com:office:office" xmlns:v="urn:schemas-microsoft-com:vml" id="Straight Connector 7"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00a2b5 [321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" from="-.15pt,3.6pt" to="-.15pt,51.3pt" w14:anchorId="73FC190B"/>
                  </w:pict>
                </mc:Fallback>
              </mc:AlternateContent>
            </w:r>
            <w:r w:rsidR="000652FB">
              <w:rPr>
                <w:lang w:val="en-GB"/>
              </w:rPr>
              <w:t xml:space="preserve">Schroder ISF* </w:t>
            </w:r>
            <w:r w:rsidR="005A0430">
              <w:rPr>
                <w:lang w:val="en-GB"/>
              </w:rPr>
              <w:t>EURO</w:t>
            </w:r>
            <w:r w:rsidR="000652FB">
              <w:rPr>
                <w:lang w:val="en-GB"/>
              </w:rPr>
              <w:t xml:space="preserve"> Credit Conviction Short Duration</w:t>
            </w:r>
            <w:r w:rsidR="00B530CB">
              <w:rPr>
                <w:lang w:val="en-GB"/>
              </w:rPr>
              <w:t xml:space="preserve"> </w:t>
            </w:r>
          </w:p>
        </w:tc>
      </w:tr>
    </w:tbl>
    <w:p w14:paraId="66F26F07" w14:textId="77777777" w:rsidR="00626DB0" w:rsidRPr="00A23F93" w:rsidRDefault="00794888" w:rsidP="007B5A24">
      <w:pPr>
        <w:pStyle w:val="BodytextRegular"/>
      </w:pPr>
      <w:r>
        <w:rPr>
          <w:noProof/>
        </w:rPr>
        <w:drawing>
          <wp:anchor distT="0" distB="0" distL="114300" distR="114300" simplePos="0" relativeHeight="251658240" behindDoc="1" locked="0" layoutInCell="1" allowOverlap="1" wp14:anchorId="3979A4FE" wp14:editId="0A9ADEF9">
            <wp:simplePos x="0" y="0"/>
            <wp:positionH relativeFrom="column">
              <wp:posOffset>-534035</wp:posOffset>
            </wp:positionH>
            <wp:positionV relativeFrom="paragraph">
              <wp:posOffset>-597534</wp:posOffset>
            </wp:positionV>
            <wp:extent cx="7571491" cy="2647950"/>
            <wp:effectExtent l="0" t="0" r="0" b="0"/>
            <wp:wrapNone/>
            <wp:docPr id="1267668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68238"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7577643" cy="2650102"/>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152"/>
        <w:tblW w:w="102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292"/>
      </w:tblGrid>
      <w:tr w:rsidR="00A91EC8" w:rsidRPr="00A23F93" w14:paraId="21F6E67F" w14:textId="77777777" w:rsidTr="00286B89">
        <w:trPr>
          <w:trHeight w:val="361"/>
        </w:trPr>
        <w:tc>
          <w:tcPr>
            <w:tcW w:w="10292" w:type="dxa"/>
            <w:tcMar>
              <w:left w:w="0" w:type="dxa"/>
              <w:right w:w="0" w:type="dxa"/>
            </w:tcMar>
            <w:vAlign w:val="center"/>
          </w:tcPr>
          <w:p w14:paraId="7D9A4285" w14:textId="77777777" w:rsidR="00A91EC8" w:rsidRPr="006B3B46" w:rsidRDefault="00A91EC8" w:rsidP="00286B89">
            <w:pPr>
              <w:pStyle w:val="Coverdate"/>
              <w:spacing w:after="60"/>
            </w:pPr>
            <w:r>
              <w:rPr>
                <w:noProof w:val="0"/>
              </w:rPr>
              <w:t xml:space="preserve">Fund Manager: </w:t>
            </w:r>
            <w:r>
              <w:t>Patrick Vogel</w:t>
            </w:r>
            <w:r w:rsidR="00D67FCC">
              <w:t xml:space="preserve"> </w:t>
            </w:r>
          </w:p>
        </w:tc>
      </w:tr>
      <w:tr w:rsidR="00A91EC8" w:rsidRPr="00A23F93" w14:paraId="3D292341" w14:textId="77777777" w:rsidTr="00286B89">
        <w:trPr>
          <w:trHeight w:val="351"/>
        </w:trPr>
        <w:tc>
          <w:tcPr>
            <w:tcW w:w="10292" w:type="dxa"/>
            <w:tcMar>
              <w:left w:w="0" w:type="dxa"/>
              <w:right w:w="0" w:type="dxa"/>
            </w:tcMar>
            <w:vAlign w:val="center"/>
          </w:tcPr>
          <w:p w14:paraId="17F56B7C" w14:textId="77777777" w:rsidR="00A91EC8" w:rsidRPr="00A23F93" w:rsidRDefault="00A91EC8" w:rsidP="00286B89">
            <w:pPr>
              <w:pStyle w:val="Coverdate"/>
              <w:spacing w:after="60"/>
              <w:rPr>
                <w:noProof w:val="0"/>
              </w:rPr>
            </w:pPr>
            <w:r w:rsidRPr="00A23F93">
              <w:rPr>
                <w:noProof w:val="0"/>
              </w:rPr>
              <w:t xml:space="preserve">Fund update: </w:t>
            </w:r>
            <w:r>
              <w:rPr>
                <w:noProof w:val="0"/>
              </w:rPr>
              <w:t xml:space="preserve">June 2026 </w:t>
            </w:r>
          </w:p>
        </w:tc>
      </w:tr>
      <w:tr w:rsidR="00A91EC8" w:rsidRPr="00A23F93" w14:paraId="4A9EEF51" w14:textId="77777777" w:rsidTr="00286B89">
        <w:trPr>
          <w:trHeight w:val="287"/>
        </w:trPr>
        <w:tc>
          <w:tcPr>
            <w:tcW w:w="10292" w:type="dxa"/>
            <w:tcMar>
              <w:left w:w="0" w:type="dxa"/>
              <w:right w:w="0" w:type="dxa"/>
            </w:tcMar>
            <w:vAlign w:val="center"/>
          </w:tcPr>
          <w:p w14:paraId="6E3A38B8" w14:textId="77777777" w:rsidR="00A91EC8" w:rsidRPr="00A23F93" w:rsidRDefault="00A91EC8" w:rsidP="00286B89">
            <w:pPr>
              <w:pStyle w:val="Coverdisclaimer"/>
              <w:spacing w:after="60"/>
              <w:rPr>
                <w:noProof w:val="0"/>
              </w:rPr>
            </w:pPr>
            <w:r>
              <w:rPr>
                <w:noProof w:val="0"/>
              </w:rPr>
              <w:t>Marketing material f</w:t>
            </w:r>
            <w:r w:rsidRPr="00A23F93">
              <w:rPr>
                <w:noProof w:val="0"/>
              </w:rPr>
              <w:t>or professional clients only.</w:t>
            </w:r>
          </w:p>
        </w:tc>
      </w:tr>
    </w:tbl>
    <w:p w14:paraId="4E4FD5A9" w14:textId="77777777" w:rsidR="00A119CB" w:rsidRDefault="00A119CB" w:rsidP="007B5A24">
      <w:pPr>
        <w:pStyle w:val="BodytextRegular"/>
      </w:pPr>
    </w:p>
    <w:p w14:paraId="67C48910" w14:textId="77777777" w:rsidR="0032766B" w:rsidRDefault="0032766B" w:rsidP="007B5A24">
      <w:pPr>
        <w:pStyle w:val="Paragraphheaderprussiannavy"/>
      </w:pPr>
      <w:bookmarkStart w:id="0" w:name="_Toc72584036"/>
      <w:bookmarkStart w:id="1" w:name="_Toc72515832"/>
    </w:p>
    <w:p w14:paraId="79CB0E64" w14:textId="77777777" w:rsidR="00A119CB" w:rsidRPr="00A23F93" w:rsidRDefault="00A119CB" w:rsidP="007B5A24">
      <w:pPr>
        <w:pStyle w:val="Paragraphheaderprussiannavy"/>
      </w:pPr>
      <w:r w:rsidRPr="00A23F93">
        <w:t>Market Review</w:t>
      </w:r>
    </w:p>
    <w:p w14:paraId="042D744D" w14:textId="77777777" w:rsidR="005A0430" w:rsidRDefault="00C66ABB" w:rsidP="007B5A24">
      <w:pPr>
        <w:pStyle w:val="BodytextRegular"/>
        <w:spacing w:before="240"/>
      </w:pPr>
      <w:r>
        <w:t>June was generally a positive month for global bond markets although yields remained sensitive to fluctuations in energy prices throughout the month. An early rise in government bond yields was subsequently reversed, leaving yields broadly slightly lower over the month.  Corporate bonds were resilient although there was modest spread widening across credit markets.</w:t>
      </w:r>
    </w:p>
    <w:p w14:paraId="655150C8" w14:textId="77777777" w:rsidR="005A0430" w:rsidRDefault="00C66ABB" w:rsidP="007B5A24">
      <w:pPr>
        <w:pStyle w:val="BodytextRegular"/>
        <w:spacing w:before="240"/>
      </w:pPr>
      <w:r>
        <w:t>In European credit, the automotive sector was notably weaker driven by company-specific developments. Volkswagen announced further job cuts in response to overcapacity and competition from Chinese auto manufacturers. An unexpected profit warning from BMW also unsettled credit investors, as the impact of weaker demand in China and competitive pressures in the premium electric vehicles (EV) market led management to downgrade earnings forecasts for 2026.</w:t>
      </w:r>
    </w:p>
    <w:p w14:paraId="5E6D99EC" w14:textId="77777777" w:rsidR="005A0430" w:rsidRDefault="00C66ABB" w:rsidP="007B5A24">
      <w:pPr>
        <w:pStyle w:val="BodytextRegular"/>
        <w:spacing w:before="240"/>
      </w:pPr>
      <w:r>
        <w:t>The technical backdrop for credit markets has also softened since the beginning of the year, notably inflows into euro investment grade funds which are now focused on shorter duration products, while the primary market remains busy with a further tranche of new issues in June. Premiums on new issues have returned to their March peak while book coverage ratios are near two-year lows, indicating early signs of supply indigestion.</w:t>
      </w:r>
    </w:p>
    <w:p w14:paraId="7F9F08CF" w14:textId="77777777" w:rsidR="005A0430" w:rsidRDefault="00C66ABB" w:rsidP="007B5A24">
      <w:pPr>
        <w:pStyle w:val="BodytextRegular"/>
        <w:spacing w:before="240"/>
      </w:pPr>
      <w:r>
        <w:t>As expected, the European Central Bank (ECB) increased interest rates by 25 basis points to 2.25% in June – the first major central bank to tighten monetary policy in response to inflationary pressures triggered by the Middle East conflict. ECB officials highlighted evidence that the impact of higher energy costs was beginning to filter through into the broader economy. The ECB now expects headline inflation to average 3% this year, before easing in 2027.</w:t>
      </w:r>
    </w:p>
    <w:p w14:paraId="5A3FC3BF" w14:textId="77777777" w:rsidR="005A0430" w:rsidRDefault="00C66ABB" w:rsidP="007B5A24">
      <w:pPr>
        <w:pStyle w:val="BodytextRegular"/>
        <w:spacing w:before="240"/>
      </w:pPr>
      <w:r>
        <w:t>However, data for June highlighted eurozone inflation fell below 3% with oil prices now back at levels immediately prior to the outbreak of the conflict in the spring. Core inflation was also below expectations, also suggesting inflationary pressures are now beginning to ease.</w:t>
      </w:r>
    </w:p>
    <w:p w14:paraId="7DF3FB86" w14:textId="6EFF7BDD" w:rsidR="00A119CB" w:rsidRPr="00A23F93" w:rsidRDefault="00C66ABB" w:rsidP="007B5A24">
      <w:pPr>
        <w:pStyle w:val="BodytextRegular"/>
        <w:spacing w:before="240"/>
      </w:pPr>
      <w:r>
        <w:t xml:space="preserve">The latest Eurozone composite purchasing managers index (PMI) survey for June also highlighted a more benign backdrop with some signs of stabilisation in private sector activity with a continued expansion in manufacturing, while weakness in the services sector was less pronounced. </w:t>
      </w:r>
      <w:r>
        <w:br/>
        <w:t xml:space="preserve"> </w:t>
      </w:r>
    </w:p>
    <w:p w14:paraId="140544C9" w14:textId="77777777" w:rsidR="00A119CB" w:rsidRPr="00A23F93" w:rsidRDefault="00A119CB" w:rsidP="007B5A24">
      <w:pPr>
        <w:pStyle w:val="Paragraphheaderprussiannavy"/>
      </w:pPr>
      <w:r w:rsidRPr="00A23F93">
        <w:t>Drivers of Fund Performance</w:t>
      </w:r>
    </w:p>
    <w:p w14:paraId="45D74EFB" w14:textId="77777777" w:rsidR="005A0430" w:rsidRDefault="00C66ABB" w:rsidP="007B5A24">
      <w:pPr>
        <w:pStyle w:val="BodytextRegular"/>
        <w:spacing w:before="240"/>
      </w:pPr>
      <w:r>
        <w:t>The fund posted a positive total return and outperformed the reference benchmark during June after fees.</w:t>
      </w:r>
      <w:r>
        <w:br/>
        <w:t>Positioning in the real estate sector and in subordinated financials made a positive contribution to performance over the month</w:t>
      </w:r>
    </w:p>
    <w:p w14:paraId="0B82D378" w14:textId="77777777" w:rsidR="005A0430" w:rsidRDefault="00C66ABB" w:rsidP="007B5A24">
      <w:pPr>
        <w:pStyle w:val="BodytextRegular"/>
        <w:spacing w:before="240"/>
      </w:pPr>
      <w:r>
        <w:t>In the real estate sector, the successful completion of a hybrid tender and new issue from a central European commercial developer benefited performance,</w:t>
      </w:r>
    </w:p>
    <w:p w14:paraId="6C0DAFCE" w14:textId="77777777" w:rsidR="005A0430" w:rsidRDefault="00C66ABB" w:rsidP="007B5A24">
      <w:pPr>
        <w:pStyle w:val="BodytextRegular"/>
        <w:spacing w:before="240"/>
      </w:pPr>
      <w:r>
        <w:t>Among subordinated financials, the holding in a European insurer was additive as the issuance of Tier 2 securities following a recent acquisition was well received by credit investors. An underweight allocation to the automotive sector was additive.</w:t>
      </w:r>
      <w:r w:rsidR="005A0430">
        <w:t xml:space="preserve"> </w:t>
      </w:r>
    </w:p>
    <w:p w14:paraId="292C854C" w14:textId="184A0E27" w:rsidR="00A119CB" w:rsidRPr="00A23F93" w:rsidRDefault="00C66ABB" w:rsidP="007B5A24">
      <w:pPr>
        <w:pStyle w:val="BodytextRegular"/>
        <w:spacing w:before="240"/>
      </w:pPr>
      <w:r>
        <w:lastRenderedPageBreak/>
        <w:t xml:space="preserve">On the other hand, exposure to the technology and telecommunication sector detracted on concerns about the volume on new issuance arising from large scale investment from </w:t>
      </w:r>
      <w:proofErr w:type="spellStart"/>
      <w:r>
        <w:t>hyperscalers</w:t>
      </w:r>
      <w:proofErr w:type="spellEnd"/>
      <w:r>
        <w:t xml:space="preserve"> in data centre assets. </w:t>
      </w:r>
      <w:r>
        <w:br/>
        <w:t xml:space="preserve"> </w:t>
      </w:r>
    </w:p>
    <w:p w14:paraId="2C0289E1" w14:textId="77777777" w:rsidR="00A119CB" w:rsidRPr="00A23F93" w:rsidRDefault="00A119CB" w:rsidP="007B5A24">
      <w:pPr>
        <w:pStyle w:val="Paragraphheaderprussiannavy"/>
      </w:pPr>
      <w:r w:rsidRPr="00A23F93">
        <w:t>Portfolio Activity</w:t>
      </w:r>
    </w:p>
    <w:p w14:paraId="79F675D5" w14:textId="77777777" w:rsidR="005A0430" w:rsidRDefault="00C66ABB" w:rsidP="007B5A24">
      <w:pPr>
        <w:pStyle w:val="BodytextRegular"/>
        <w:spacing w:before="240"/>
      </w:pPr>
      <w:r>
        <w:t xml:space="preserve">As credit spreads remained compressed, there was little change over the month to portfolio headline duration and spread duration, which remained in line with the benchmark with the emphasis on identifying investment opportunities providing good carry. </w:t>
      </w:r>
    </w:p>
    <w:p w14:paraId="04B94994" w14:textId="77777777" w:rsidR="005A0430" w:rsidRDefault="00C66ABB" w:rsidP="007B5A24">
      <w:pPr>
        <w:pStyle w:val="BodytextRegular"/>
        <w:spacing w:before="240"/>
      </w:pPr>
      <w:r>
        <w:t xml:space="preserve">We participated in a new dollar-denominated issue from a leading commodity trader that we consider has investment grade credentials, with a strong balance sheet and potential to exploit arbitrage opportunities in periods of market volatility. </w:t>
      </w:r>
    </w:p>
    <w:p w14:paraId="18960C15" w14:textId="77777777" w:rsidR="005A0430" w:rsidRDefault="00C66ABB" w:rsidP="007B5A24">
      <w:pPr>
        <w:pStyle w:val="BodytextRegular"/>
        <w:spacing w:before="240"/>
      </w:pPr>
      <w:r>
        <w:t xml:space="preserve">Within the AI theme, we continue to focus on data centre infrastructure assets. In the European primary market, we added a senior euro-denominated issue on an attractive yield backed by tenancy agreements to fund the build out of data centres in Scandinavia, which also benefit from relatively low energy costs. </w:t>
      </w:r>
    </w:p>
    <w:p w14:paraId="45F3AAEA" w14:textId="77777777" w:rsidR="005A0430" w:rsidRDefault="00C66ABB" w:rsidP="007B5A24">
      <w:pPr>
        <w:pStyle w:val="BodytextRegular"/>
        <w:spacing w:before="240"/>
      </w:pPr>
      <w:r>
        <w:t xml:space="preserve">In the real estate sector, we participated in a new issue of senior bonds to repay debts and fund acquisitions from a retail-focused developer in central Europe and Italy. </w:t>
      </w:r>
    </w:p>
    <w:p w14:paraId="78704B56" w14:textId="2DB64EA4" w:rsidR="00A119CB" w:rsidRPr="00A23F93" w:rsidRDefault="00C66ABB" w:rsidP="007B5A24">
      <w:pPr>
        <w:pStyle w:val="BodytextRegular"/>
        <w:spacing w:before="240"/>
      </w:pPr>
      <w:r>
        <w:t xml:space="preserve">We reduced exposure to cyclical sectors, moving further underweight in auto manufacturers and component suppliers. </w:t>
      </w:r>
      <w:r>
        <w:br/>
        <w:t xml:space="preserve">We parked the proceeds of these disposals in highly liquid short-dated core European government bonds, as a buffer against near-term market volatility and a widening of credit spreads. </w:t>
      </w:r>
      <w:r>
        <w:br/>
        <w:t xml:space="preserve"> </w:t>
      </w:r>
    </w:p>
    <w:p w14:paraId="070710D7" w14:textId="77777777" w:rsidR="002C423C" w:rsidRPr="00A23F93" w:rsidRDefault="002C423C" w:rsidP="007B5A24">
      <w:pPr>
        <w:pStyle w:val="Paragraphheaderprussiannavy"/>
      </w:pPr>
      <w:r w:rsidRPr="00A23F93">
        <w:t>Outlook/positioning</w:t>
      </w:r>
    </w:p>
    <w:p w14:paraId="03523264" w14:textId="77777777" w:rsidR="005A0430" w:rsidRDefault="00C66ABB" w:rsidP="007B5A24">
      <w:pPr>
        <w:pStyle w:val="BodytextRegular"/>
        <w:spacing w:before="240"/>
      </w:pPr>
      <w:r>
        <w:t xml:space="preserve">Given the eurozone’s reliance on energy imports, the region has been doubly affected since the outbreak of the Middle East conflict by the closure of the Strait of Hormuz due to the impact on natural gas prices, which are crucial for electricity supplies and for heating. However, with the ceasefire between the US and Iran now extended, and the Strait of Hormuz reopened, near-term inflationary pressures in the eurozone have eased. </w:t>
      </w:r>
      <w:r>
        <w:br/>
      </w:r>
      <w:r>
        <w:br/>
        <w:t>Having raised interest rates in June, the ECB is now likely to adopt a wait and see approach to monetary policy, continuing to monitor the secondary impact of elevated energy prices. The latest inflation data further suggests the ECB’s response to the inflationary impact of the Middle East conflict will be markedly less hawkish than four years ago following the outbreak of the Russia/Ukraine conflict in 2022.</w:t>
      </w:r>
      <w:r>
        <w:br/>
      </w:r>
      <w:r>
        <w:br/>
        <w:t xml:space="preserve">Nevertheless, European bond markets are likely to remain driven by global events, with bond valuations already pricing in a reflationary outlook where the ECB embarks on interest rate hikes. Credit fundamentals in Europe remain broadly solid, with strong balance sheets and limited refinancing risks overall. However, euro investment grade credit spreads at historically tight levels do not warrant adding risk and we have been very selective in the primary market. </w:t>
      </w:r>
    </w:p>
    <w:p w14:paraId="351DBF7A" w14:textId="4162B8A4" w:rsidR="002C423C" w:rsidRPr="00A23F93" w:rsidRDefault="00C66ABB" w:rsidP="007B5A24">
      <w:pPr>
        <w:pStyle w:val="BodytextRegular"/>
        <w:spacing w:before="240"/>
      </w:pPr>
      <w:r>
        <w:t>We continue to maintain a cautious outlook having actively de-risked the portfolio over recent months, maintaining spread duration to historical lows.  We continue to place a strong emphasis on credit quality, focusing on opportunities that offer good carry and favourable underlying credit fundamentals.</w:t>
      </w:r>
      <w:r>
        <w:br/>
        <w:t xml:space="preserve"> </w:t>
      </w:r>
    </w:p>
    <w:p w14:paraId="51478E13" w14:textId="77777777" w:rsidR="00BE29C1" w:rsidRPr="00A23F93" w:rsidRDefault="00DB6B18" w:rsidP="007B5A24">
      <w:pPr>
        <w:pStyle w:val="Paragraphheaderprussiannavy"/>
      </w:pPr>
      <w:r>
        <w:t>Calendar</w:t>
      </w:r>
      <w:r w:rsidR="002C423C" w:rsidRPr="00A23F93">
        <w:t xml:space="preserve"> </w:t>
      </w:r>
      <w:r w:rsidR="001D2095">
        <w:t>Y</w:t>
      </w:r>
      <w:r w:rsidR="002C423C" w:rsidRPr="00A23F93">
        <w:t xml:space="preserve">early </w:t>
      </w:r>
      <w:r w:rsidR="001D2095">
        <w:t>P</w:t>
      </w:r>
      <w:r w:rsidR="002C423C" w:rsidRPr="00A23F93">
        <w:t>erformance (%)</w:t>
      </w:r>
    </w:p>
    <w:p w14:paraId="4122582D" w14:textId="77777777" w:rsidR="00A119CB" w:rsidRDefault="008E3C39" w:rsidP="007B5A24">
      <w:pPr>
        <w:pStyle w:val="BodytextRegular"/>
      </w:pPr>
      <w:r w:rsidRPr="008E3C39">
        <w:rPr>
          <w:b/>
          <w:bCs/>
        </w:rPr>
        <w:t>Past performance is not a guide to future performance and may not be repeated</w:t>
      </w:r>
      <w:r w:rsidR="002C423C" w:rsidRPr="00A23F93">
        <w:rPr>
          <w:b/>
          <w:bCs/>
        </w:rPr>
        <w:t>.</w:t>
      </w:r>
    </w:p>
    <w:tbl>
      <w:tblPr>
        <w:tblStyle w:val="Table"/>
        <w:tblW w:w="5000" w:type="pct"/>
        <w:tblLook w:val="0620" w:firstRow="1" w:lastRow="0" w:firstColumn="0" w:lastColumn="0" w:noHBand="1" w:noVBand="1"/>
      </w:tblPr>
      <w:tblGrid>
        <w:gridCol w:w="2041"/>
        <w:gridCol w:w="2755"/>
        <w:gridCol w:w="2755"/>
        <w:gridCol w:w="2653"/>
      </w:tblGrid>
      <w:tr w:rsidR="00577226" w:rsidRPr="00A23F93" w14:paraId="48F2C2A2" w14:textId="77777777" w:rsidTr="00275704">
        <w:trPr>
          <w:cnfStyle w:val="100000000000" w:firstRow="1" w:lastRow="0" w:firstColumn="0" w:lastColumn="0" w:oddVBand="0" w:evenVBand="0" w:oddHBand="0" w:evenHBand="0" w:firstRowFirstColumn="0" w:firstRowLastColumn="0" w:lastRowFirstColumn="0" w:lastRowLastColumn="0"/>
          <w:trHeight w:val="391"/>
        </w:trPr>
        <w:tc>
          <w:tcPr>
            <w:tcW w:w="1000" w:type="pct"/>
          </w:tcPr>
          <w:p w14:paraId="5D9D980D" w14:textId="77777777" w:rsidR="00577226" w:rsidRPr="00A23F93" w:rsidRDefault="00577226" w:rsidP="0004186D">
            <w:pPr>
              <w:pStyle w:val="Tabletext"/>
              <w:spacing w:before="0" w:after="0"/>
            </w:pPr>
            <w:r>
              <w:t>Period</w:t>
            </w:r>
          </w:p>
        </w:tc>
        <w:tc>
          <w:tcPr>
            <w:tcW w:w="1350" w:type="pct"/>
          </w:tcPr>
          <w:p w14:paraId="01DF2589" w14:textId="77777777" w:rsidR="00577226" w:rsidRPr="00A23F93" w:rsidRDefault="00501848" w:rsidP="0004186D">
            <w:pPr>
              <w:pStyle w:val="Tabletext"/>
              <w:spacing w:before="0" w:after="0"/>
              <w:ind w:right="563"/>
              <w:jc w:val="right"/>
            </w:pPr>
            <w:r>
              <w:t xml:space="preserve">Fund A </w:t>
            </w:r>
            <w:proofErr w:type="spellStart"/>
            <w:r>
              <w:t>Acc</w:t>
            </w:r>
            <w:proofErr w:type="spellEnd"/>
            <w:r>
              <w:t xml:space="preserve"> EUR </w:t>
            </w:r>
          </w:p>
        </w:tc>
        <w:tc>
          <w:tcPr>
            <w:tcW w:w="1350" w:type="pct"/>
          </w:tcPr>
          <w:p w14:paraId="68AFA114" w14:textId="77777777" w:rsidR="00577226" w:rsidRDefault="00501848" w:rsidP="0004186D">
            <w:pPr>
              <w:pStyle w:val="Tabletext"/>
              <w:spacing w:before="0" w:after="0"/>
              <w:ind w:right="563"/>
              <w:jc w:val="right"/>
            </w:pPr>
            <w:r>
              <w:t xml:space="preserve">Fund I </w:t>
            </w:r>
            <w:proofErr w:type="spellStart"/>
            <w:r>
              <w:t>Acc</w:t>
            </w:r>
            <w:proofErr w:type="spellEnd"/>
            <w:r>
              <w:t xml:space="preserve"> EUR</w:t>
            </w:r>
            <w:r w:rsidR="00577226">
              <w:t xml:space="preserve"> </w:t>
            </w:r>
          </w:p>
        </w:tc>
        <w:tc>
          <w:tcPr>
            <w:tcW w:w="1300" w:type="pct"/>
          </w:tcPr>
          <w:p w14:paraId="34C371D5" w14:textId="77777777" w:rsidR="00577226" w:rsidRPr="00501848" w:rsidRDefault="007B2F34" w:rsidP="0004186D">
            <w:pPr>
              <w:pStyle w:val="Tabletext"/>
              <w:spacing w:before="0" w:after="0"/>
              <w:ind w:right="563"/>
              <w:jc w:val="right"/>
              <w:rPr>
                <w:szCs w:val="18"/>
              </w:rPr>
            </w:pPr>
            <w:r>
              <w:rPr>
                <w:szCs w:val="18"/>
              </w:rPr>
              <w:t>Benchmark</w:t>
            </w:r>
            <w:r w:rsidR="00501848" w:rsidRPr="00501848">
              <w:rPr>
                <w:szCs w:val="18"/>
                <w:vertAlign w:val="superscript"/>
              </w:rPr>
              <w:t>1</w:t>
            </w:r>
            <w:r w:rsidR="00577226" w:rsidRPr="00501848">
              <w:rPr>
                <w:szCs w:val="18"/>
              </w:rPr>
              <w:t xml:space="preserve"> </w:t>
            </w:r>
          </w:p>
        </w:tc>
      </w:tr>
      <w:tr w:rsidR="00577226" w:rsidRPr="00A23F93" w14:paraId="7F83564E" w14:textId="77777777" w:rsidTr="00646448">
        <w:trPr>
          <w:trHeight w:val="391"/>
        </w:trPr>
        <w:tc>
          <w:tcPr>
            <w:tcW w:w="1000" w:type="pct"/>
          </w:tcPr>
          <w:p w14:paraId="24219AEB" w14:textId="77777777" w:rsidR="00577226" w:rsidRPr="00A23F93" w:rsidRDefault="00577226" w:rsidP="0004186D">
            <w:pPr>
              <w:pStyle w:val="Tabletext"/>
              <w:spacing w:before="0" w:after="0"/>
            </w:pPr>
            <w:r>
              <w:t xml:space="preserve">2025 </w:t>
            </w:r>
          </w:p>
        </w:tc>
        <w:tc>
          <w:tcPr>
            <w:tcW w:w="1350" w:type="pct"/>
          </w:tcPr>
          <w:p w14:paraId="3840E996" w14:textId="77777777" w:rsidR="00577226" w:rsidRPr="00A23F93" w:rsidRDefault="00577226" w:rsidP="0004186D">
            <w:pPr>
              <w:pStyle w:val="Tabletext"/>
              <w:spacing w:before="0" w:after="0"/>
              <w:ind w:right="563"/>
              <w:jc w:val="right"/>
            </w:pPr>
            <w:r>
              <w:t xml:space="preserve">3.5 </w:t>
            </w:r>
          </w:p>
        </w:tc>
        <w:tc>
          <w:tcPr>
            <w:tcW w:w="1350" w:type="pct"/>
          </w:tcPr>
          <w:p w14:paraId="2D4DEC85" w14:textId="77777777" w:rsidR="00577226" w:rsidRDefault="00577226" w:rsidP="0004186D">
            <w:pPr>
              <w:pStyle w:val="Tabletext"/>
              <w:spacing w:before="0" w:after="0"/>
              <w:ind w:right="563"/>
              <w:jc w:val="right"/>
            </w:pPr>
            <w:r>
              <w:t xml:space="preserve">5.0 </w:t>
            </w:r>
          </w:p>
        </w:tc>
        <w:tc>
          <w:tcPr>
            <w:tcW w:w="1300" w:type="pct"/>
          </w:tcPr>
          <w:p w14:paraId="217779AB" w14:textId="77777777" w:rsidR="00577226" w:rsidRPr="00A23F93" w:rsidRDefault="00577226" w:rsidP="0004186D">
            <w:pPr>
              <w:pStyle w:val="Tabletext"/>
              <w:spacing w:before="0" w:after="0"/>
              <w:ind w:right="563"/>
              <w:jc w:val="right"/>
            </w:pPr>
            <w:r>
              <w:t>3.7</w:t>
            </w:r>
          </w:p>
        </w:tc>
      </w:tr>
      <w:tr w:rsidR="00577226" w:rsidRPr="00A23F93" w14:paraId="36E1149F" w14:textId="77777777" w:rsidTr="00646448">
        <w:trPr>
          <w:trHeight w:val="391"/>
        </w:trPr>
        <w:tc>
          <w:tcPr>
            <w:tcW w:w="1000" w:type="pct"/>
          </w:tcPr>
          <w:p w14:paraId="6C92EF96" w14:textId="77777777" w:rsidR="00577226" w:rsidRPr="00A23F93" w:rsidRDefault="00577226" w:rsidP="0004186D">
            <w:pPr>
              <w:pStyle w:val="Tabletext"/>
              <w:spacing w:before="0" w:after="0"/>
            </w:pPr>
            <w:r>
              <w:t xml:space="preserve">2024 </w:t>
            </w:r>
          </w:p>
        </w:tc>
        <w:tc>
          <w:tcPr>
            <w:tcW w:w="1350" w:type="pct"/>
          </w:tcPr>
          <w:p w14:paraId="5BFE3411" w14:textId="77777777" w:rsidR="00577226" w:rsidRPr="00A23F93" w:rsidRDefault="00577226" w:rsidP="0004186D">
            <w:pPr>
              <w:pStyle w:val="Tabletext"/>
              <w:spacing w:before="0" w:after="0"/>
              <w:ind w:right="563"/>
              <w:jc w:val="right"/>
            </w:pPr>
            <w:r>
              <w:t xml:space="preserve">6.7 </w:t>
            </w:r>
          </w:p>
        </w:tc>
        <w:tc>
          <w:tcPr>
            <w:tcW w:w="1350" w:type="pct"/>
          </w:tcPr>
          <w:p w14:paraId="422063A4" w14:textId="77777777" w:rsidR="00577226" w:rsidRDefault="00577226" w:rsidP="0004186D">
            <w:pPr>
              <w:pStyle w:val="Tabletext"/>
              <w:spacing w:before="0" w:after="0"/>
              <w:ind w:right="563"/>
              <w:jc w:val="right"/>
            </w:pPr>
            <w:r>
              <w:t xml:space="preserve">8.2 </w:t>
            </w:r>
          </w:p>
        </w:tc>
        <w:tc>
          <w:tcPr>
            <w:tcW w:w="1300" w:type="pct"/>
          </w:tcPr>
          <w:p w14:paraId="6F9B60E5" w14:textId="77777777" w:rsidR="00577226" w:rsidRPr="00A23F93" w:rsidRDefault="00577226" w:rsidP="0004186D">
            <w:pPr>
              <w:pStyle w:val="Tabletext"/>
              <w:spacing w:before="0" w:after="0"/>
              <w:ind w:right="563"/>
              <w:jc w:val="right"/>
            </w:pPr>
            <w:r>
              <w:t>5.4</w:t>
            </w:r>
          </w:p>
        </w:tc>
      </w:tr>
      <w:tr w:rsidR="00577226" w:rsidRPr="00A23F93" w14:paraId="0D8C2A97" w14:textId="77777777" w:rsidTr="00646448">
        <w:trPr>
          <w:trHeight w:val="391"/>
        </w:trPr>
        <w:tc>
          <w:tcPr>
            <w:tcW w:w="1000" w:type="pct"/>
          </w:tcPr>
          <w:p w14:paraId="73E0F319" w14:textId="77777777" w:rsidR="00577226" w:rsidRPr="00A23F93" w:rsidRDefault="00577226" w:rsidP="0004186D">
            <w:pPr>
              <w:pStyle w:val="Tabletext"/>
              <w:spacing w:before="0" w:after="0"/>
            </w:pPr>
            <w:r>
              <w:t xml:space="preserve">2023 </w:t>
            </w:r>
          </w:p>
        </w:tc>
        <w:tc>
          <w:tcPr>
            <w:tcW w:w="1350" w:type="pct"/>
          </w:tcPr>
          <w:p w14:paraId="17DAF009" w14:textId="77777777" w:rsidR="00577226" w:rsidRPr="00A23F93" w:rsidRDefault="00577226" w:rsidP="0004186D">
            <w:pPr>
              <w:pStyle w:val="Tabletext"/>
              <w:spacing w:before="0" w:after="0"/>
              <w:ind w:right="563"/>
              <w:jc w:val="right"/>
            </w:pPr>
            <w:r>
              <w:t xml:space="preserve">9.2 </w:t>
            </w:r>
          </w:p>
        </w:tc>
        <w:tc>
          <w:tcPr>
            <w:tcW w:w="1350" w:type="pct"/>
          </w:tcPr>
          <w:p w14:paraId="453736C0" w14:textId="77777777" w:rsidR="00577226" w:rsidRDefault="00577226" w:rsidP="0004186D">
            <w:pPr>
              <w:pStyle w:val="Tabletext"/>
              <w:spacing w:before="0" w:after="0"/>
              <w:ind w:right="563"/>
              <w:jc w:val="right"/>
            </w:pPr>
            <w:r>
              <w:t xml:space="preserve">10.7 </w:t>
            </w:r>
          </w:p>
        </w:tc>
        <w:tc>
          <w:tcPr>
            <w:tcW w:w="1300" w:type="pct"/>
          </w:tcPr>
          <w:p w14:paraId="723C4767" w14:textId="77777777" w:rsidR="00577226" w:rsidRPr="00A23F93" w:rsidRDefault="00577226" w:rsidP="0004186D">
            <w:pPr>
              <w:pStyle w:val="Tabletext"/>
              <w:spacing w:before="0" w:after="0"/>
              <w:ind w:right="563"/>
              <w:jc w:val="right"/>
            </w:pPr>
            <w:r>
              <w:t>6.4</w:t>
            </w:r>
          </w:p>
        </w:tc>
      </w:tr>
      <w:tr w:rsidR="00577226" w:rsidRPr="00A23F93" w14:paraId="1B71E799" w14:textId="77777777" w:rsidTr="00646448">
        <w:trPr>
          <w:trHeight w:val="391"/>
        </w:trPr>
        <w:tc>
          <w:tcPr>
            <w:tcW w:w="1000" w:type="pct"/>
          </w:tcPr>
          <w:p w14:paraId="554A932F" w14:textId="77777777" w:rsidR="00577226" w:rsidRPr="00A23F93" w:rsidRDefault="00577226" w:rsidP="0004186D">
            <w:pPr>
              <w:pStyle w:val="Tabletext"/>
              <w:spacing w:before="0" w:after="0"/>
            </w:pPr>
            <w:r>
              <w:t xml:space="preserve">2022 </w:t>
            </w:r>
          </w:p>
        </w:tc>
        <w:tc>
          <w:tcPr>
            <w:tcW w:w="1350" w:type="pct"/>
          </w:tcPr>
          <w:p w14:paraId="28FD51FC" w14:textId="77777777" w:rsidR="00577226" w:rsidRPr="00A23F93" w:rsidRDefault="00577226" w:rsidP="0004186D">
            <w:pPr>
              <w:pStyle w:val="Tabletext"/>
              <w:spacing w:before="0" w:after="0"/>
              <w:ind w:right="563"/>
              <w:jc w:val="right"/>
            </w:pPr>
            <w:r>
              <w:t xml:space="preserve">-11.6 </w:t>
            </w:r>
          </w:p>
        </w:tc>
        <w:tc>
          <w:tcPr>
            <w:tcW w:w="1350" w:type="pct"/>
          </w:tcPr>
          <w:p w14:paraId="193EF735" w14:textId="77777777" w:rsidR="00577226" w:rsidRDefault="00577226" w:rsidP="0004186D">
            <w:pPr>
              <w:pStyle w:val="Tabletext"/>
              <w:spacing w:before="0" w:after="0"/>
              <w:ind w:right="563"/>
              <w:jc w:val="right"/>
            </w:pPr>
            <w:r>
              <w:t xml:space="preserve">-10.3 </w:t>
            </w:r>
          </w:p>
        </w:tc>
        <w:tc>
          <w:tcPr>
            <w:tcW w:w="1300" w:type="pct"/>
          </w:tcPr>
          <w:p w14:paraId="1F9E6ABF" w14:textId="77777777" w:rsidR="00577226" w:rsidRPr="00A23F93" w:rsidRDefault="00577226" w:rsidP="0004186D">
            <w:pPr>
              <w:pStyle w:val="Tabletext"/>
              <w:spacing w:before="0" w:after="0"/>
              <w:ind w:right="563"/>
              <w:jc w:val="right"/>
            </w:pPr>
            <w:r>
              <w:t>0.4</w:t>
            </w:r>
          </w:p>
        </w:tc>
      </w:tr>
      <w:tr w:rsidR="00577226" w:rsidRPr="00A23F93" w14:paraId="4B6A121A" w14:textId="77777777" w:rsidTr="00646448">
        <w:trPr>
          <w:trHeight w:val="391"/>
        </w:trPr>
        <w:tc>
          <w:tcPr>
            <w:tcW w:w="1000" w:type="pct"/>
          </w:tcPr>
          <w:p w14:paraId="7BCE939F" w14:textId="77777777" w:rsidR="00577226" w:rsidRPr="00A23F93" w:rsidRDefault="00577226" w:rsidP="0004186D">
            <w:pPr>
              <w:pStyle w:val="Tabletext"/>
              <w:spacing w:before="0" w:after="0"/>
            </w:pPr>
            <w:r>
              <w:lastRenderedPageBreak/>
              <w:t xml:space="preserve">2021 </w:t>
            </w:r>
          </w:p>
        </w:tc>
        <w:tc>
          <w:tcPr>
            <w:tcW w:w="1350" w:type="pct"/>
          </w:tcPr>
          <w:p w14:paraId="3F02400F" w14:textId="77777777" w:rsidR="00577226" w:rsidRPr="00A23F93" w:rsidRDefault="00577226" w:rsidP="0004186D">
            <w:pPr>
              <w:pStyle w:val="Tabletext"/>
              <w:spacing w:before="0" w:after="0"/>
              <w:ind w:right="563"/>
              <w:jc w:val="right"/>
            </w:pPr>
            <w:r>
              <w:t xml:space="preserve">-0.7 </w:t>
            </w:r>
          </w:p>
        </w:tc>
        <w:tc>
          <w:tcPr>
            <w:tcW w:w="1350" w:type="pct"/>
          </w:tcPr>
          <w:p w14:paraId="54605EAF" w14:textId="77777777" w:rsidR="00577226" w:rsidRDefault="00577226" w:rsidP="0004186D">
            <w:pPr>
              <w:pStyle w:val="Tabletext"/>
              <w:spacing w:before="0" w:after="0"/>
              <w:ind w:right="563"/>
              <w:jc w:val="right"/>
            </w:pPr>
            <w:r>
              <w:t xml:space="preserve">0.7 </w:t>
            </w:r>
          </w:p>
        </w:tc>
        <w:tc>
          <w:tcPr>
            <w:tcW w:w="1300" w:type="pct"/>
          </w:tcPr>
          <w:p w14:paraId="101D343F" w14:textId="77777777" w:rsidR="00577226" w:rsidRPr="00A23F93" w:rsidRDefault="00577226" w:rsidP="0004186D">
            <w:pPr>
              <w:pStyle w:val="Tabletext"/>
              <w:spacing w:before="0" w:after="0"/>
              <w:ind w:right="563"/>
              <w:jc w:val="right"/>
            </w:pPr>
            <w:r>
              <w:t>-0.5</w:t>
            </w:r>
          </w:p>
        </w:tc>
      </w:tr>
      <w:tr w:rsidR="00577226" w:rsidRPr="00A23F93" w14:paraId="1CCDF8F1" w14:textId="77777777" w:rsidTr="00646448">
        <w:trPr>
          <w:trHeight w:val="391"/>
        </w:trPr>
        <w:tc>
          <w:tcPr>
            <w:tcW w:w="1000" w:type="pct"/>
          </w:tcPr>
          <w:p w14:paraId="3F4558A5" w14:textId="77777777" w:rsidR="00577226" w:rsidRPr="00A23F93" w:rsidRDefault="00577226" w:rsidP="0004186D">
            <w:pPr>
              <w:pStyle w:val="Tabletext"/>
              <w:spacing w:before="0" w:after="0"/>
            </w:pPr>
            <w:r>
              <w:t xml:space="preserve">2020 </w:t>
            </w:r>
          </w:p>
        </w:tc>
        <w:tc>
          <w:tcPr>
            <w:tcW w:w="1350" w:type="pct"/>
          </w:tcPr>
          <w:p w14:paraId="62668CAE" w14:textId="77777777" w:rsidR="00577226" w:rsidRPr="00A23F93" w:rsidRDefault="00577226" w:rsidP="0004186D">
            <w:pPr>
              <w:pStyle w:val="Tabletext"/>
              <w:spacing w:before="0" w:after="0"/>
              <w:ind w:right="563"/>
              <w:jc w:val="right"/>
            </w:pPr>
            <w:r>
              <w:t xml:space="preserve">2.8 </w:t>
            </w:r>
          </w:p>
        </w:tc>
        <w:tc>
          <w:tcPr>
            <w:tcW w:w="1350" w:type="pct"/>
          </w:tcPr>
          <w:p w14:paraId="132FC7C7" w14:textId="77777777" w:rsidR="00577226" w:rsidRDefault="00577226" w:rsidP="0004186D">
            <w:pPr>
              <w:pStyle w:val="Tabletext"/>
              <w:spacing w:before="0" w:after="0"/>
              <w:ind w:right="563"/>
              <w:jc w:val="right"/>
            </w:pPr>
            <w:r>
              <w:t xml:space="preserve">4.3 </w:t>
            </w:r>
          </w:p>
        </w:tc>
        <w:tc>
          <w:tcPr>
            <w:tcW w:w="1300" w:type="pct"/>
          </w:tcPr>
          <w:p w14:paraId="2B0FEB98" w14:textId="77777777" w:rsidR="00577226" w:rsidRPr="00A23F93" w:rsidRDefault="00577226" w:rsidP="0004186D">
            <w:pPr>
              <w:pStyle w:val="Tabletext"/>
              <w:spacing w:before="0" w:after="0"/>
              <w:ind w:right="563"/>
              <w:jc w:val="right"/>
            </w:pPr>
            <w:r>
              <w:t>-0.4</w:t>
            </w:r>
          </w:p>
        </w:tc>
      </w:tr>
      <w:tr w:rsidR="00577226" w:rsidRPr="00A23F93" w14:paraId="4B5F12A6" w14:textId="77777777" w:rsidTr="00646448">
        <w:trPr>
          <w:trHeight w:val="391"/>
        </w:trPr>
        <w:tc>
          <w:tcPr>
            <w:tcW w:w="1000" w:type="pct"/>
          </w:tcPr>
          <w:p w14:paraId="24D3FD69" w14:textId="77777777" w:rsidR="00577226" w:rsidRPr="00A23F93" w:rsidRDefault="00577226" w:rsidP="0004186D">
            <w:pPr>
              <w:pStyle w:val="Tabletext"/>
              <w:spacing w:before="0" w:after="0"/>
            </w:pPr>
            <w:r>
              <w:t xml:space="preserve">2019 </w:t>
            </w:r>
          </w:p>
        </w:tc>
        <w:tc>
          <w:tcPr>
            <w:tcW w:w="1350" w:type="pct"/>
          </w:tcPr>
          <w:p w14:paraId="73AD6009" w14:textId="77777777" w:rsidR="00577226" w:rsidRPr="00A23F93" w:rsidRDefault="00577226" w:rsidP="0004186D">
            <w:pPr>
              <w:pStyle w:val="Tabletext"/>
              <w:spacing w:before="0" w:after="0"/>
              <w:ind w:right="563"/>
              <w:jc w:val="right"/>
            </w:pPr>
            <w:r>
              <w:t xml:space="preserve">6.5 </w:t>
            </w:r>
          </w:p>
        </w:tc>
        <w:tc>
          <w:tcPr>
            <w:tcW w:w="1350" w:type="pct"/>
          </w:tcPr>
          <w:p w14:paraId="5D4A30A1" w14:textId="77777777" w:rsidR="00577226" w:rsidRDefault="00577226" w:rsidP="0004186D">
            <w:pPr>
              <w:pStyle w:val="Tabletext"/>
              <w:spacing w:before="0" w:after="0"/>
              <w:ind w:right="563"/>
              <w:jc w:val="right"/>
            </w:pPr>
            <w:r>
              <w:t xml:space="preserve">8.0 </w:t>
            </w:r>
          </w:p>
        </w:tc>
        <w:tc>
          <w:tcPr>
            <w:tcW w:w="1300" w:type="pct"/>
          </w:tcPr>
          <w:p w14:paraId="023877F8" w14:textId="77777777" w:rsidR="00577226" w:rsidRPr="00A23F93" w:rsidRDefault="00577226" w:rsidP="0004186D">
            <w:pPr>
              <w:pStyle w:val="Tabletext"/>
              <w:spacing w:before="0" w:after="0"/>
              <w:ind w:right="563"/>
              <w:jc w:val="right"/>
            </w:pPr>
            <w:r>
              <w:t>-0.4</w:t>
            </w:r>
          </w:p>
        </w:tc>
      </w:tr>
      <w:tr w:rsidR="00577226" w:rsidRPr="00A23F93" w14:paraId="5CA274CF" w14:textId="77777777" w:rsidTr="00646448">
        <w:trPr>
          <w:trHeight w:val="391"/>
        </w:trPr>
        <w:tc>
          <w:tcPr>
            <w:tcW w:w="1000" w:type="pct"/>
          </w:tcPr>
          <w:p w14:paraId="195B54EF" w14:textId="77777777" w:rsidR="00577226" w:rsidRPr="00A23F93" w:rsidRDefault="00577226" w:rsidP="0004186D">
            <w:pPr>
              <w:pStyle w:val="Tabletext"/>
              <w:spacing w:before="0" w:after="0"/>
            </w:pPr>
            <w:r>
              <w:t xml:space="preserve">2018 </w:t>
            </w:r>
          </w:p>
        </w:tc>
        <w:tc>
          <w:tcPr>
            <w:tcW w:w="1350" w:type="pct"/>
          </w:tcPr>
          <w:p w14:paraId="5FD60B25" w14:textId="77777777" w:rsidR="00577226" w:rsidRPr="00A23F93" w:rsidRDefault="00577226" w:rsidP="0004186D">
            <w:pPr>
              <w:pStyle w:val="Tabletext"/>
              <w:spacing w:before="0" w:after="0"/>
              <w:ind w:right="563"/>
              <w:jc w:val="right"/>
            </w:pPr>
            <w:r>
              <w:t xml:space="preserve">-4.2 </w:t>
            </w:r>
          </w:p>
        </w:tc>
        <w:tc>
          <w:tcPr>
            <w:tcW w:w="1350" w:type="pct"/>
          </w:tcPr>
          <w:p w14:paraId="31767EBB" w14:textId="77777777" w:rsidR="00577226" w:rsidRDefault="00577226" w:rsidP="0004186D">
            <w:pPr>
              <w:pStyle w:val="Tabletext"/>
              <w:spacing w:before="0" w:after="0"/>
              <w:ind w:right="563"/>
              <w:jc w:val="right"/>
            </w:pPr>
            <w:r>
              <w:t xml:space="preserve">-2.8 </w:t>
            </w:r>
          </w:p>
        </w:tc>
        <w:tc>
          <w:tcPr>
            <w:tcW w:w="1300" w:type="pct"/>
          </w:tcPr>
          <w:p w14:paraId="29E8A22D" w14:textId="77777777" w:rsidR="00577226" w:rsidRPr="00A23F93" w:rsidRDefault="00577226" w:rsidP="0004186D">
            <w:pPr>
              <w:pStyle w:val="Tabletext"/>
              <w:spacing w:before="0" w:after="0"/>
              <w:ind w:right="563"/>
              <w:jc w:val="right"/>
            </w:pPr>
            <w:r>
              <w:t>-0.4</w:t>
            </w:r>
          </w:p>
        </w:tc>
      </w:tr>
      <w:tr w:rsidR="00577226" w:rsidRPr="00A23F93" w14:paraId="1E36112C" w14:textId="77777777" w:rsidTr="00646448">
        <w:trPr>
          <w:trHeight w:val="391"/>
        </w:trPr>
        <w:tc>
          <w:tcPr>
            <w:tcW w:w="1000" w:type="pct"/>
          </w:tcPr>
          <w:p w14:paraId="5F680895" w14:textId="77777777" w:rsidR="00577226" w:rsidRPr="00A23F93" w:rsidRDefault="00577226" w:rsidP="0004186D">
            <w:pPr>
              <w:pStyle w:val="Tabletext"/>
              <w:spacing w:before="0" w:after="0"/>
            </w:pPr>
            <w:r>
              <w:t xml:space="preserve">2017 </w:t>
            </w:r>
          </w:p>
        </w:tc>
        <w:tc>
          <w:tcPr>
            <w:tcW w:w="1350" w:type="pct"/>
          </w:tcPr>
          <w:p w14:paraId="351E1EBC" w14:textId="77777777" w:rsidR="00577226" w:rsidRPr="00A23F93" w:rsidRDefault="00577226" w:rsidP="0004186D">
            <w:pPr>
              <w:pStyle w:val="Tabletext"/>
              <w:spacing w:before="0" w:after="0"/>
              <w:ind w:right="563"/>
              <w:jc w:val="right"/>
            </w:pPr>
            <w:r>
              <w:t xml:space="preserve">3.7 </w:t>
            </w:r>
          </w:p>
        </w:tc>
        <w:tc>
          <w:tcPr>
            <w:tcW w:w="1350" w:type="pct"/>
          </w:tcPr>
          <w:p w14:paraId="5F8DEDA2" w14:textId="77777777" w:rsidR="00577226" w:rsidRDefault="00577226" w:rsidP="0004186D">
            <w:pPr>
              <w:pStyle w:val="Tabletext"/>
              <w:spacing w:before="0" w:after="0"/>
              <w:ind w:right="563"/>
              <w:jc w:val="right"/>
            </w:pPr>
            <w:r>
              <w:t xml:space="preserve">5.2 </w:t>
            </w:r>
          </w:p>
        </w:tc>
        <w:tc>
          <w:tcPr>
            <w:tcW w:w="1300" w:type="pct"/>
          </w:tcPr>
          <w:p w14:paraId="62E249CC" w14:textId="77777777" w:rsidR="00577226" w:rsidRPr="00A23F93" w:rsidRDefault="00577226" w:rsidP="0004186D">
            <w:pPr>
              <w:pStyle w:val="Tabletext"/>
              <w:spacing w:before="0" w:after="0"/>
              <w:ind w:right="563"/>
              <w:jc w:val="right"/>
            </w:pPr>
            <w:r>
              <w:t>-0.3</w:t>
            </w:r>
          </w:p>
        </w:tc>
      </w:tr>
      <w:tr w:rsidR="00577226" w:rsidRPr="00A23F93" w14:paraId="062CDBBE" w14:textId="77777777" w:rsidTr="00646448">
        <w:trPr>
          <w:trHeight w:val="391"/>
        </w:trPr>
        <w:tc>
          <w:tcPr>
            <w:tcW w:w="1000" w:type="pct"/>
          </w:tcPr>
          <w:p w14:paraId="1B3D7457" w14:textId="77777777" w:rsidR="00577226" w:rsidRPr="00A23F93" w:rsidRDefault="00577226" w:rsidP="0004186D">
            <w:pPr>
              <w:pStyle w:val="Tabletext"/>
              <w:spacing w:before="0" w:after="0"/>
            </w:pPr>
            <w:r>
              <w:t xml:space="preserve">2016 </w:t>
            </w:r>
          </w:p>
        </w:tc>
        <w:tc>
          <w:tcPr>
            <w:tcW w:w="1350" w:type="pct"/>
          </w:tcPr>
          <w:p w14:paraId="1FA4FFA7" w14:textId="77777777" w:rsidR="00577226" w:rsidRPr="00A23F93" w:rsidRDefault="00577226" w:rsidP="0004186D">
            <w:pPr>
              <w:pStyle w:val="Tabletext"/>
              <w:spacing w:before="0" w:after="0"/>
              <w:ind w:right="563"/>
              <w:jc w:val="right"/>
            </w:pPr>
            <w:r>
              <w:t xml:space="preserve">3.0 </w:t>
            </w:r>
          </w:p>
        </w:tc>
        <w:tc>
          <w:tcPr>
            <w:tcW w:w="1350" w:type="pct"/>
          </w:tcPr>
          <w:p w14:paraId="17F07F8A" w14:textId="77777777" w:rsidR="00577226" w:rsidRDefault="00577226" w:rsidP="0004186D">
            <w:pPr>
              <w:pStyle w:val="Tabletext"/>
              <w:spacing w:before="0" w:after="0"/>
              <w:ind w:right="563"/>
              <w:jc w:val="right"/>
            </w:pPr>
            <w:r>
              <w:t xml:space="preserve">4.5 </w:t>
            </w:r>
          </w:p>
        </w:tc>
        <w:tc>
          <w:tcPr>
            <w:tcW w:w="1300" w:type="pct"/>
          </w:tcPr>
          <w:p w14:paraId="00598AC2" w14:textId="77777777" w:rsidR="00577226" w:rsidRPr="00A23F93" w:rsidRDefault="00577226" w:rsidP="0004186D">
            <w:pPr>
              <w:pStyle w:val="Tabletext"/>
              <w:spacing w:before="0" w:after="0"/>
              <w:ind w:right="563"/>
              <w:jc w:val="right"/>
            </w:pPr>
            <w:r>
              <w:t>-0.3</w:t>
            </w:r>
          </w:p>
        </w:tc>
      </w:tr>
    </w:tbl>
    <w:p w14:paraId="01F6C266" w14:textId="77777777" w:rsidR="005C664A" w:rsidRDefault="005C664A" w:rsidP="0004186D">
      <w:pPr>
        <w:pStyle w:val="BodytextRegular"/>
        <w:spacing w:after="0"/>
      </w:pPr>
    </w:p>
    <w:p w14:paraId="728C71A5" w14:textId="77777777" w:rsidR="007D25B6" w:rsidRPr="00826685" w:rsidRDefault="009D5084" w:rsidP="007B5A24">
      <w:pPr>
        <w:pStyle w:val="Sourcetext"/>
        <w:spacing w:before="0" w:after="120" w:line="240" w:lineRule="auto"/>
        <w:rPr>
          <w:b/>
          <w:bCs/>
          <w:sz w:val="19"/>
          <w:szCs w:val="22"/>
        </w:rPr>
      </w:pPr>
      <w:bookmarkStart w:id="2" w:name="_Hlk208599288"/>
      <w:r w:rsidRPr="009D5084">
        <w:rPr>
          <w:szCs w:val="16"/>
        </w:rPr>
        <w:t>Source: Schroders, Morningstar, as of 30 June 2026. Performance shown is based on the currency of the share class shown and is net of fees.</w:t>
      </w:r>
      <w:r w:rsidRPr="000658EF">
        <w:t xml:space="preserve"> </w:t>
      </w:r>
      <w:r w:rsidRPr="009D5084">
        <w:rPr>
          <w:szCs w:val="16"/>
        </w:rPr>
        <w:t xml:space="preserve">A </w:t>
      </w:r>
      <w:proofErr w:type="spellStart"/>
      <w:r w:rsidRPr="009D5084">
        <w:rPr>
          <w:szCs w:val="16"/>
        </w:rPr>
        <w:t>Acc</w:t>
      </w:r>
      <w:proofErr w:type="spellEnd"/>
      <w:r w:rsidRPr="009D5084">
        <w:rPr>
          <w:szCs w:val="16"/>
        </w:rPr>
        <w:t xml:space="preserve"> Share class (LU1293074719) inception on 11 November 2015; I </w:t>
      </w:r>
      <w:proofErr w:type="spellStart"/>
      <w:r w:rsidRPr="009D5084">
        <w:rPr>
          <w:szCs w:val="16"/>
        </w:rPr>
        <w:t>Acc</w:t>
      </w:r>
      <w:proofErr w:type="spellEnd"/>
      <w:r w:rsidRPr="009D5084">
        <w:rPr>
          <w:szCs w:val="16"/>
        </w:rPr>
        <w:t xml:space="preserve"> Share class (LU1293074982) inception on 11 November 2015. Please see factsheet for other share classes. The value of investments and the income from them may go down as well as up and investors may not get back the amount originally invested</w:t>
      </w:r>
      <w:r w:rsidRPr="001246F1">
        <w:t>.</w:t>
      </w:r>
      <w:r w:rsidRPr="009D5084">
        <w:rPr>
          <w:b/>
          <w:bCs/>
          <w:szCs w:val="16"/>
        </w:rPr>
        <w:t xml:space="preserve"> Exchange rate changes may cause the value of investments to fall as well as rise.</w:t>
      </w:r>
      <w:r w:rsidRPr="009D5084">
        <w:rPr>
          <w:szCs w:val="16"/>
        </w:rPr>
        <w:t xml:space="preserve"> Performance data does not </w:t>
      </w:r>
      <w:proofErr w:type="gramStart"/>
      <w:r w:rsidRPr="009D5084">
        <w:rPr>
          <w:szCs w:val="16"/>
        </w:rPr>
        <w:t>take into account</w:t>
      </w:r>
      <w:proofErr w:type="gramEnd"/>
      <w:r w:rsidRPr="009D5084">
        <w:rPr>
          <w:szCs w:val="16"/>
        </w:rPr>
        <w:t xml:space="preserve"> any commissions and costs, if any, charged when units or shares of any fund, as applicable, are issued and redeem</w:t>
      </w:r>
      <w:r w:rsidRPr="001246F1">
        <w:t>e</w:t>
      </w:r>
      <w:r w:rsidRPr="002061AF">
        <w:t>d</w:t>
      </w:r>
      <w:r w:rsidRPr="00826685">
        <w:rPr>
          <w:bCs/>
        </w:rPr>
        <w:t>.</w:t>
      </w:r>
      <w:bookmarkEnd w:id="2"/>
      <w:r w:rsidR="00CF55DA" w:rsidRPr="00EA57CD">
        <w:rPr>
          <w:b/>
          <w:bCs/>
        </w:rPr>
        <w:t xml:space="preserve"> </w:t>
      </w:r>
      <w:r w:rsidR="00CB3320" w:rsidRPr="002D7184">
        <w:t xml:space="preserve">The Fund’s investment universe is expected to overlap materially with the components of the target benchmark. The investment manager invests on a discretionary basis and there are no restrictions on the extent to which the Fund’s portfolio and performance may deviate from the target benchmark. The investment manager will invest in companies or sectors not included in the target benchmark </w:t>
      </w:r>
      <w:proofErr w:type="gramStart"/>
      <w:r w:rsidR="00CB3320" w:rsidRPr="002D7184">
        <w:t>in order to</w:t>
      </w:r>
      <w:proofErr w:type="gramEnd"/>
      <w:r w:rsidR="00CB3320" w:rsidRPr="002D7184">
        <w:t xml:space="preserve"> take advantage of specific investment opportunities.</w:t>
      </w:r>
      <w:r w:rsidR="00CB3320">
        <w:t xml:space="preserve"> </w:t>
      </w:r>
    </w:p>
    <w:p w14:paraId="10F0AF84" w14:textId="77777777" w:rsidR="00AC2047" w:rsidRDefault="009D5084" w:rsidP="00407D1A">
      <w:pPr>
        <w:pStyle w:val="BodytextRegular"/>
        <w:rPr>
          <w:sz w:val="16"/>
          <w:szCs w:val="16"/>
        </w:rPr>
      </w:pPr>
      <w:r w:rsidRPr="00CF4D44">
        <w:rPr>
          <w:sz w:val="16"/>
          <w:szCs w:val="16"/>
          <w:vertAlign w:val="superscript"/>
        </w:rPr>
        <w:t>1</w:t>
      </w:r>
      <w:r>
        <w:rPr>
          <w:sz w:val="16"/>
          <w:szCs w:val="16"/>
        </w:rPr>
        <w:t>Benchmark</w:t>
      </w:r>
      <w:r w:rsidRPr="00CF4D44">
        <w:rPr>
          <w:sz w:val="16"/>
          <w:szCs w:val="16"/>
        </w:rPr>
        <w:t xml:space="preserve"> refers to </w:t>
      </w:r>
      <w:r>
        <w:rPr>
          <w:sz w:val="16"/>
          <w:szCs w:val="16"/>
        </w:rPr>
        <w:t>ICE BofA 1-5 Year BBB EURO Corporate Index.</w:t>
      </w:r>
    </w:p>
    <w:p w14:paraId="7C8A0609" w14:textId="77777777" w:rsidR="007F6A85" w:rsidRPr="00642BAB" w:rsidRDefault="007F6A85" w:rsidP="007B5A24">
      <w:pPr>
        <w:pStyle w:val="Paragraphheaderprussiannavy"/>
        <w:rPr>
          <w:b w:val="0"/>
        </w:rPr>
      </w:pPr>
      <w:r>
        <w:t>P</w:t>
      </w:r>
      <w:r w:rsidRPr="00A23F93">
        <w:t xml:space="preserve">erformance </w:t>
      </w:r>
      <w:r w:rsidR="007B5A24">
        <w:t>S</w:t>
      </w:r>
      <w:r>
        <w:t xml:space="preserve">napshot </w:t>
      </w:r>
      <w:r w:rsidRPr="00A23F93">
        <w:t>(%)</w:t>
      </w:r>
    </w:p>
    <w:p w14:paraId="5616721E" w14:textId="77777777" w:rsidR="007F6A85" w:rsidRDefault="00843726" w:rsidP="007B5A24">
      <w:pPr>
        <w:pStyle w:val="Sourcetext"/>
        <w:spacing w:before="0" w:after="120" w:line="240" w:lineRule="auto"/>
        <w:rPr>
          <w:b/>
          <w:bCs/>
          <w:sz w:val="18"/>
          <w:szCs w:val="18"/>
        </w:rPr>
      </w:pPr>
      <w:r w:rsidRPr="00843726">
        <w:rPr>
          <w:b/>
          <w:bCs/>
          <w:sz w:val="18"/>
          <w:szCs w:val="18"/>
        </w:rPr>
        <w:t>Past performance is not a guide to future performance and may not be repeated</w:t>
      </w:r>
      <w:r w:rsidR="007F6A85" w:rsidRPr="00CE1A02">
        <w:rPr>
          <w:b/>
          <w:bCs/>
          <w:sz w:val="18"/>
          <w:szCs w:val="18"/>
        </w:rPr>
        <w:t>.</w:t>
      </w:r>
    </w:p>
    <w:tbl>
      <w:tblPr>
        <w:tblStyle w:val="Table"/>
        <w:tblW w:w="5000" w:type="pct"/>
        <w:tblLook w:val="04A0" w:firstRow="1" w:lastRow="0" w:firstColumn="1" w:lastColumn="0" w:noHBand="0" w:noVBand="1"/>
      </w:tblPr>
      <w:tblGrid>
        <w:gridCol w:w="2532"/>
        <w:gridCol w:w="968"/>
        <w:gridCol w:w="985"/>
        <w:gridCol w:w="921"/>
        <w:gridCol w:w="932"/>
        <w:gridCol w:w="949"/>
        <w:gridCol w:w="949"/>
        <w:gridCol w:w="949"/>
        <w:gridCol w:w="1019"/>
      </w:tblGrid>
      <w:tr w:rsidR="00A9058B" w14:paraId="20DE38AB" w14:textId="77777777" w:rsidTr="00250EED">
        <w:trPr>
          <w:cnfStyle w:val="100000000000" w:firstRow="1" w:lastRow="0" w:firstColumn="0" w:lastColumn="0" w:oddVBand="0" w:evenVBand="0" w:oddHBand="0"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35" w:type="dxa"/>
          </w:tcPr>
          <w:p w14:paraId="3624C3A3" w14:textId="77777777" w:rsidR="00A9058B" w:rsidRDefault="00A9058B" w:rsidP="0004186D">
            <w:pPr>
              <w:pStyle w:val="BodytextRegular"/>
              <w:spacing w:before="0" w:after="0"/>
            </w:pPr>
          </w:p>
        </w:tc>
        <w:tc>
          <w:tcPr>
            <w:tcW w:w="1021" w:type="dxa"/>
          </w:tcPr>
          <w:p w14:paraId="3B721CC8"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1 Month</w:t>
            </w:r>
            <w:r w:rsidR="00A9058B">
              <w:t xml:space="preserve"> </w:t>
            </w:r>
          </w:p>
        </w:tc>
        <w:tc>
          <w:tcPr>
            <w:tcW w:w="1021" w:type="dxa"/>
          </w:tcPr>
          <w:p w14:paraId="23C6F2F5"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3 Months</w:t>
            </w:r>
            <w:r w:rsidR="00A9058B">
              <w:t xml:space="preserve"> </w:t>
            </w:r>
          </w:p>
        </w:tc>
        <w:tc>
          <w:tcPr>
            <w:tcW w:w="1021" w:type="dxa"/>
          </w:tcPr>
          <w:p w14:paraId="226373BA"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YTD</w:t>
            </w:r>
            <w:r w:rsidR="00A9058B">
              <w:t xml:space="preserve"> </w:t>
            </w:r>
          </w:p>
        </w:tc>
        <w:tc>
          <w:tcPr>
            <w:tcW w:w="1021" w:type="dxa"/>
          </w:tcPr>
          <w:p w14:paraId="5C5B6E6D"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1 Year</w:t>
            </w:r>
            <w:r w:rsidR="00A9058B">
              <w:t xml:space="preserve"> </w:t>
            </w:r>
          </w:p>
        </w:tc>
        <w:tc>
          <w:tcPr>
            <w:tcW w:w="1021" w:type="dxa"/>
          </w:tcPr>
          <w:p w14:paraId="3AA82CDB"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3 Years p.a.</w:t>
            </w:r>
            <w:r w:rsidR="00A9058B">
              <w:t xml:space="preserve"> </w:t>
            </w:r>
          </w:p>
        </w:tc>
        <w:tc>
          <w:tcPr>
            <w:tcW w:w="1021" w:type="dxa"/>
          </w:tcPr>
          <w:p w14:paraId="60CD9E8E"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5 Years p.a.</w:t>
            </w:r>
            <w:r w:rsidR="00A9058B">
              <w:t xml:space="preserve"> </w:t>
            </w:r>
          </w:p>
        </w:tc>
        <w:tc>
          <w:tcPr>
            <w:tcW w:w="1021" w:type="dxa"/>
          </w:tcPr>
          <w:p w14:paraId="4B4894FD"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10 Years p.a.</w:t>
            </w:r>
            <w:r w:rsidR="00A9058B">
              <w:t xml:space="preserve"> </w:t>
            </w:r>
          </w:p>
        </w:tc>
        <w:tc>
          <w:tcPr>
            <w:tcW w:w="1021" w:type="dxa"/>
          </w:tcPr>
          <w:p w14:paraId="3A887ADD" w14:textId="77777777" w:rsidR="00A9058B" w:rsidRDefault="00980330" w:rsidP="0004186D">
            <w:pPr>
              <w:pStyle w:val="BodytextRegular"/>
              <w:spacing w:before="0" w:after="0"/>
              <w:jc w:val="right"/>
              <w:cnfStyle w:val="100000000000" w:firstRow="1" w:lastRow="0" w:firstColumn="0" w:lastColumn="0" w:oddVBand="0" w:evenVBand="0" w:oddHBand="0" w:evenHBand="0" w:firstRowFirstColumn="0" w:firstRowLastColumn="0" w:lastRowFirstColumn="0" w:lastRowLastColumn="0"/>
            </w:pPr>
            <w:r>
              <w:t>Since Inception p.a.</w:t>
            </w:r>
            <w:r w:rsidR="00A9058B">
              <w:t xml:space="preserve"> </w:t>
            </w:r>
          </w:p>
        </w:tc>
      </w:tr>
      <w:tr w:rsidR="00A9058B" w14:paraId="7BB6796B" w14:textId="77777777" w:rsidTr="00250EED">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0830BD6F" w14:textId="77777777" w:rsidR="00A9058B" w:rsidRDefault="00DD71EF" w:rsidP="0004186D">
            <w:pPr>
              <w:pStyle w:val="BodytextRegular"/>
              <w:spacing w:before="0" w:after="0"/>
            </w:pPr>
            <w:r>
              <w:t xml:space="preserve">Fund A </w:t>
            </w:r>
            <w:proofErr w:type="spellStart"/>
            <w:r>
              <w:t>Acc</w:t>
            </w:r>
            <w:proofErr w:type="spellEnd"/>
            <w:r>
              <w:t xml:space="preserve"> EUR </w:t>
            </w:r>
          </w:p>
        </w:tc>
        <w:tc>
          <w:tcPr>
            <w:tcW w:w="1021" w:type="dxa"/>
          </w:tcPr>
          <w:p w14:paraId="50DFFF79"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0.4 </w:t>
            </w:r>
          </w:p>
        </w:tc>
        <w:tc>
          <w:tcPr>
            <w:tcW w:w="1021" w:type="dxa"/>
          </w:tcPr>
          <w:p w14:paraId="3C58AEFB"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2.0 </w:t>
            </w:r>
          </w:p>
        </w:tc>
        <w:tc>
          <w:tcPr>
            <w:tcW w:w="1021" w:type="dxa"/>
          </w:tcPr>
          <w:p w14:paraId="313DADD9"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1.0 </w:t>
            </w:r>
          </w:p>
        </w:tc>
        <w:tc>
          <w:tcPr>
            <w:tcW w:w="1021" w:type="dxa"/>
          </w:tcPr>
          <w:p w14:paraId="26432F6E"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2.5 </w:t>
            </w:r>
          </w:p>
        </w:tc>
        <w:tc>
          <w:tcPr>
            <w:tcW w:w="1021" w:type="dxa"/>
          </w:tcPr>
          <w:p w14:paraId="7A7F6161"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5.7 </w:t>
            </w:r>
          </w:p>
        </w:tc>
        <w:tc>
          <w:tcPr>
            <w:tcW w:w="1021" w:type="dxa"/>
          </w:tcPr>
          <w:p w14:paraId="03C7BEF4"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1.2 </w:t>
            </w:r>
          </w:p>
        </w:tc>
        <w:tc>
          <w:tcPr>
            <w:tcW w:w="1021" w:type="dxa"/>
          </w:tcPr>
          <w:p w14:paraId="20F53BBB"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1.7 </w:t>
            </w:r>
          </w:p>
        </w:tc>
        <w:tc>
          <w:tcPr>
            <w:tcW w:w="1021" w:type="dxa"/>
          </w:tcPr>
          <w:p w14:paraId="7B014B66" w14:textId="77777777" w:rsidR="00A9058B" w:rsidRDefault="00A9058B"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 xml:space="preserve">1.7 </w:t>
            </w:r>
          </w:p>
        </w:tc>
      </w:tr>
      <w:tr w:rsidR="00A9058B" w14:paraId="5D89AEF6" w14:textId="77777777" w:rsidTr="00250EED">
        <w:trPr>
          <w:trHeight w:val="391"/>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225CF755" w14:textId="77777777" w:rsidR="00A9058B" w:rsidRDefault="00DD71EF" w:rsidP="0004186D">
            <w:pPr>
              <w:pStyle w:val="BodytextRegular"/>
              <w:spacing w:before="0" w:after="0"/>
            </w:pPr>
            <w:r>
              <w:t xml:space="preserve">Fund I </w:t>
            </w:r>
            <w:proofErr w:type="spellStart"/>
            <w:r>
              <w:t>Acc</w:t>
            </w:r>
            <w:proofErr w:type="spellEnd"/>
            <w:r>
              <w:t xml:space="preserve"> EUR </w:t>
            </w:r>
          </w:p>
        </w:tc>
        <w:tc>
          <w:tcPr>
            <w:tcW w:w="1021" w:type="dxa"/>
          </w:tcPr>
          <w:p w14:paraId="63893C49"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0.5</w:t>
            </w:r>
          </w:p>
        </w:tc>
        <w:tc>
          <w:tcPr>
            <w:tcW w:w="1021" w:type="dxa"/>
          </w:tcPr>
          <w:p w14:paraId="22DAB681"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2.3</w:t>
            </w:r>
          </w:p>
        </w:tc>
        <w:tc>
          <w:tcPr>
            <w:tcW w:w="1021" w:type="dxa"/>
          </w:tcPr>
          <w:p w14:paraId="3B98419D"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1.7</w:t>
            </w:r>
          </w:p>
        </w:tc>
        <w:tc>
          <w:tcPr>
            <w:tcW w:w="1021" w:type="dxa"/>
          </w:tcPr>
          <w:p w14:paraId="5B19FA34"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4.0</w:t>
            </w:r>
          </w:p>
        </w:tc>
        <w:tc>
          <w:tcPr>
            <w:tcW w:w="1021" w:type="dxa"/>
          </w:tcPr>
          <w:p w14:paraId="0EA07263"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7.2</w:t>
            </w:r>
          </w:p>
        </w:tc>
        <w:tc>
          <w:tcPr>
            <w:tcW w:w="1021" w:type="dxa"/>
          </w:tcPr>
          <w:p w14:paraId="3C50FD1B"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2.7</w:t>
            </w:r>
          </w:p>
        </w:tc>
        <w:tc>
          <w:tcPr>
            <w:tcW w:w="1021" w:type="dxa"/>
          </w:tcPr>
          <w:p w14:paraId="0A0AD70B"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3.2</w:t>
            </w:r>
          </w:p>
        </w:tc>
        <w:tc>
          <w:tcPr>
            <w:tcW w:w="1021" w:type="dxa"/>
          </w:tcPr>
          <w:p w14:paraId="5CE8797E" w14:textId="77777777" w:rsidR="00A9058B" w:rsidRDefault="00A9058B" w:rsidP="0004186D">
            <w:pPr>
              <w:pStyle w:val="BodytextRegular"/>
              <w:spacing w:before="0" w:after="0"/>
              <w:jc w:val="right"/>
              <w:cnfStyle w:val="000000000000" w:firstRow="0" w:lastRow="0" w:firstColumn="0" w:lastColumn="0" w:oddVBand="0" w:evenVBand="0" w:oddHBand="0" w:evenHBand="0" w:firstRowFirstColumn="0" w:firstRowLastColumn="0" w:lastRowFirstColumn="0" w:lastRowLastColumn="0"/>
            </w:pPr>
            <w:r>
              <w:t>3.2</w:t>
            </w:r>
          </w:p>
        </w:tc>
      </w:tr>
      <w:tr w:rsidR="00A9058B" w14:paraId="031CEFE2" w14:textId="77777777" w:rsidTr="00250EED">
        <w:trPr>
          <w:cnfStyle w:val="000000100000" w:firstRow="0" w:lastRow="0" w:firstColumn="0" w:lastColumn="0" w:oddVBand="0" w:evenVBand="0" w:oddHBand="1" w:evenHBand="0" w:firstRowFirstColumn="0" w:firstRowLastColumn="0" w:lastRowFirstColumn="0" w:lastRowLastColumn="0"/>
          <w:trHeight w:val="391"/>
        </w:trPr>
        <w:tc>
          <w:tcPr>
            <w:cnfStyle w:val="001000000000" w:firstRow="0" w:lastRow="0" w:firstColumn="1" w:lastColumn="0" w:oddVBand="0" w:evenVBand="0" w:oddHBand="0" w:evenHBand="0" w:firstRowFirstColumn="0" w:firstRowLastColumn="0" w:lastRowFirstColumn="0" w:lastRowLastColumn="0"/>
            <w:tcW w:w="2835" w:type="dxa"/>
            <w:shd w:val="clear" w:color="auto" w:fill="FFFFFF" w:themeFill="background1"/>
          </w:tcPr>
          <w:p w14:paraId="060A0B8E" w14:textId="77777777" w:rsidR="002947AF" w:rsidRPr="002947AF" w:rsidRDefault="00B83F85" w:rsidP="0004186D">
            <w:pPr>
              <w:pStyle w:val="BodytextRegular"/>
              <w:spacing w:before="0" w:after="0"/>
              <w:rPr>
                <w:sz w:val="19"/>
                <w:szCs w:val="22"/>
                <w:vertAlign w:val="superscript"/>
              </w:rPr>
            </w:pPr>
            <w:bookmarkStart w:id="3" w:name="_Hlk214628051"/>
            <w:r>
              <w:rPr>
                <w:szCs w:val="18"/>
              </w:rPr>
              <w:t>Benchmark</w:t>
            </w:r>
            <w:r w:rsidR="002947AF" w:rsidRPr="00B51BAC">
              <w:rPr>
                <w:szCs w:val="18"/>
                <w:vertAlign w:val="superscript"/>
              </w:rPr>
              <w:t>1</w:t>
            </w:r>
            <w:bookmarkEnd w:id="3"/>
          </w:p>
        </w:tc>
        <w:tc>
          <w:tcPr>
            <w:tcW w:w="1021" w:type="dxa"/>
          </w:tcPr>
          <w:p w14:paraId="4A6A078C"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0.4</w:t>
            </w:r>
          </w:p>
        </w:tc>
        <w:tc>
          <w:tcPr>
            <w:tcW w:w="1021" w:type="dxa"/>
          </w:tcPr>
          <w:p w14:paraId="60B07234"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1.9</w:t>
            </w:r>
          </w:p>
        </w:tc>
        <w:tc>
          <w:tcPr>
            <w:tcW w:w="1021" w:type="dxa"/>
          </w:tcPr>
          <w:p w14:paraId="6C1A27C1"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1.0</w:t>
            </w:r>
          </w:p>
        </w:tc>
        <w:tc>
          <w:tcPr>
            <w:tcW w:w="1021" w:type="dxa"/>
          </w:tcPr>
          <w:p w14:paraId="42740269"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2.5</w:t>
            </w:r>
          </w:p>
        </w:tc>
        <w:tc>
          <w:tcPr>
            <w:tcW w:w="1021" w:type="dxa"/>
          </w:tcPr>
          <w:p w14:paraId="778D542D"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5.0</w:t>
            </w:r>
          </w:p>
        </w:tc>
        <w:tc>
          <w:tcPr>
            <w:tcW w:w="1021" w:type="dxa"/>
          </w:tcPr>
          <w:p w14:paraId="03E340FB"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3.3</w:t>
            </w:r>
          </w:p>
        </w:tc>
        <w:tc>
          <w:tcPr>
            <w:tcW w:w="1021" w:type="dxa"/>
          </w:tcPr>
          <w:p w14:paraId="40408FC3"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1.4</w:t>
            </w:r>
          </w:p>
        </w:tc>
        <w:tc>
          <w:tcPr>
            <w:tcW w:w="1021" w:type="dxa"/>
          </w:tcPr>
          <w:p w14:paraId="07D7F69F" w14:textId="77777777" w:rsidR="00A9058B" w:rsidRDefault="00905816" w:rsidP="0004186D">
            <w:pPr>
              <w:pStyle w:val="BodytextRegular"/>
              <w:spacing w:before="0" w:after="0"/>
              <w:jc w:val="right"/>
              <w:cnfStyle w:val="000000100000" w:firstRow="0" w:lastRow="0" w:firstColumn="0" w:lastColumn="0" w:oddVBand="0" w:evenVBand="0" w:oddHBand="1" w:evenHBand="0" w:firstRowFirstColumn="0" w:firstRowLastColumn="0" w:lastRowFirstColumn="0" w:lastRowLastColumn="0"/>
            </w:pPr>
            <w:r>
              <w:t>1.3</w:t>
            </w:r>
          </w:p>
        </w:tc>
      </w:tr>
    </w:tbl>
    <w:p w14:paraId="082B5479" w14:textId="77777777" w:rsidR="002E1BEB" w:rsidRDefault="002E1BEB" w:rsidP="0004186D">
      <w:pPr>
        <w:pStyle w:val="Sourcetext"/>
        <w:spacing w:before="0" w:line="240" w:lineRule="auto"/>
        <w:rPr>
          <w:bCs/>
          <w:szCs w:val="18"/>
        </w:rPr>
      </w:pPr>
    </w:p>
    <w:p w14:paraId="01544F40" w14:textId="77777777" w:rsidR="00FC602F" w:rsidRPr="00EB5C01" w:rsidRDefault="00C26839" w:rsidP="00407D1A">
      <w:pPr>
        <w:pStyle w:val="Sourcetext"/>
        <w:spacing w:before="0" w:after="120" w:line="240" w:lineRule="auto"/>
        <w:rPr>
          <w:b/>
          <w:bCs/>
          <w:sz w:val="19"/>
          <w:szCs w:val="22"/>
        </w:rPr>
      </w:pPr>
      <w:bookmarkStart w:id="4" w:name="_Hlk208598477"/>
      <w:r w:rsidRPr="009D5084">
        <w:rPr>
          <w:szCs w:val="16"/>
        </w:rPr>
        <w:t>Source: Schroders, Morningstar, as of 30 June 2026. Performance shown is based on the currency of the share class shown and is net of fees.</w:t>
      </w:r>
      <w:r w:rsidRPr="00D82A07">
        <w:rPr>
          <w:szCs w:val="16"/>
        </w:rPr>
        <w:t xml:space="preserve"> </w:t>
      </w:r>
      <w:r w:rsidRPr="009D5084">
        <w:rPr>
          <w:szCs w:val="16"/>
        </w:rPr>
        <w:t xml:space="preserve">A </w:t>
      </w:r>
      <w:proofErr w:type="spellStart"/>
      <w:r w:rsidRPr="009D5084">
        <w:rPr>
          <w:szCs w:val="16"/>
        </w:rPr>
        <w:t>Acc</w:t>
      </w:r>
      <w:proofErr w:type="spellEnd"/>
      <w:r w:rsidRPr="009D5084">
        <w:rPr>
          <w:szCs w:val="16"/>
        </w:rPr>
        <w:t xml:space="preserve"> Share class (LU1293074719) inception on 11 November 2015; I </w:t>
      </w:r>
      <w:proofErr w:type="spellStart"/>
      <w:r w:rsidRPr="009D5084">
        <w:rPr>
          <w:szCs w:val="16"/>
        </w:rPr>
        <w:t>Acc</w:t>
      </w:r>
      <w:proofErr w:type="spellEnd"/>
      <w:r w:rsidRPr="009D5084">
        <w:rPr>
          <w:szCs w:val="16"/>
        </w:rPr>
        <w:t xml:space="preserve"> Share class (LU1293074982) inception on 11 November 2015. Please see factsheet for other share classes. The value of investments and the income from them may go down as well as up and investors may not get back the amount originally invested</w:t>
      </w:r>
      <w:r w:rsidRPr="001D3525">
        <w:rPr>
          <w:szCs w:val="16"/>
        </w:rPr>
        <w:t>.</w:t>
      </w:r>
      <w:r w:rsidRPr="009D5084">
        <w:rPr>
          <w:bCs/>
          <w:szCs w:val="16"/>
        </w:rPr>
        <w:t xml:space="preserve"> </w:t>
      </w:r>
      <w:r w:rsidRPr="009D5084">
        <w:rPr>
          <w:b/>
          <w:bCs/>
          <w:szCs w:val="16"/>
        </w:rPr>
        <w:t>Exchange rate changes may cause the value of investments to fall as well as rise.</w:t>
      </w:r>
      <w:r w:rsidRPr="009D5084">
        <w:rPr>
          <w:szCs w:val="16"/>
        </w:rPr>
        <w:t xml:space="preserve"> Performance data does not </w:t>
      </w:r>
      <w:proofErr w:type="gramStart"/>
      <w:r w:rsidRPr="009D5084">
        <w:rPr>
          <w:szCs w:val="16"/>
        </w:rPr>
        <w:t>take into account</w:t>
      </w:r>
      <w:proofErr w:type="gramEnd"/>
      <w:r w:rsidRPr="009D5084">
        <w:rPr>
          <w:szCs w:val="16"/>
        </w:rPr>
        <w:t xml:space="preserve"> any commissions and costs, if any, charged when units or shares of any fund, as applicable, are issued and redeem</w:t>
      </w:r>
      <w:r w:rsidRPr="001D3525">
        <w:rPr>
          <w:szCs w:val="16"/>
        </w:rPr>
        <w:t>e</w:t>
      </w:r>
      <w:r w:rsidRPr="002061AF">
        <w:rPr>
          <w:szCs w:val="16"/>
        </w:rPr>
        <w:t>d</w:t>
      </w:r>
      <w:r w:rsidRPr="00826685">
        <w:rPr>
          <w:bCs/>
          <w:szCs w:val="16"/>
        </w:rPr>
        <w:t>.</w:t>
      </w:r>
      <w:bookmarkEnd w:id="4"/>
      <w:r w:rsidR="00856C33" w:rsidRPr="00EB5C01">
        <w:rPr>
          <w:b/>
          <w:bCs/>
        </w:rPr>
        <w:t xml:space="preserve"> </w:t>
      </w:r>
    </w:p>
    <w:p w14:paraId="1A70F195" w14:textId="77777777" w:rsidR="00A62EF4" w:rsidRPr="00DE5CAE" w:rsidRDefault="00A62EF4" w:rsidP="00DE5CAE">
      <w:pPr>
        <w:pStyle w:val="BodytextRegular"/>
        <w:rPr>
          <w:sz w:val="16"/>
          <w:szCs w:val="16"/>
        </w:rPr>
      </w:pPr>
      <w:r w:rsidRPr="00CF4D44">
        <w:rPr>
          <w:sz w:val="16"/>
          <w:szCs w:val="16"/>
          <w:vertAlign w:val="superscript"/>
        </w:rPr>
        <w:t>1</w:t>
      </w:r>
      <w:r>
        <w:rPr>
          <w:sz w:val="16"/>
          <w:szCs w:val="16"/>
        </w:rPr>
        <w:t>Benchmark</w:t>
      </w:r>
      <w:r w:rsidRPr="00CF4D44">
        <w:rPr>
          <w:sz w:val="16"/>
          <w:szCs w:val="16"/>
        </w:rPr>
        <w:t xml:space="preserve"> refers to </w:t>
      </w:r>
      <w:r>
        <w:rPr>
          <w:sz w:val="16"/>
          <w:szCs w:val="16"/>
        </w:rPr>
        <w:t>ICE BofA 1-5 Year BBB EURO Corporate Index.</w:t>
      </w:r>
    </w:p>
    <w:p w14:paraId="79F09335" w14:textId="77777777" w:rsidR="002C423C" w:rsidRPr="00A23F93" w:rsidRDefault="002C423C" w:rsidP="007B5A24">
      <w:pPr>
        <w:pStyle w:val="Paragraphheaderprussiannavy"/>
        <w:tabs>
          <w:tab w:val="right" w:pos="10204"/>
        </w:tabs>
      </w:pPr>
      <w:r w:rsidRPr="00A23F93">
        <w:t>Investment O</w:t>
      </w:r>
      <w:r w:rsidR="007F2566">
        <w:t>bjective</w:t>
      </w:r>
    </w:p>
    <w:p w14:paraId="1D4C51E2" w14:textId="77777777" w:rsidR="008C1D82" w:rsidRPr="00E70499" w:rsidRDefault="00FD5917" w:rsidP="007B5A24">
      <w:pPr>
        <w:pStyle w:val="BodytextRegular"/>
      </w:pPr>
      <w:r>
        <w:t>The fund is actively managed and invests at least two-thirds of its assets, long (directly or indirectly through derivatives) or short (through derivatives), in bonds denominated in Euro issued by governments, government agencies, supra-nationals and companies worldwide.</w:t>
      </w:r>
      <w:r w:rsidR="00073A5C">
        <w:t xml:space="preserve"> </w:t>
      </w:r>
    </w:p>
    <w:p w14:paraId="13EE15A9" w14:textId="77777777" w:rsidR="00626DB0" w:rsidRPr="00753011" w:rsidRDefault="002C423C" w:rsidP="007B5A24">
      <w:pPr>
        <w:pStyle w:val="Paragraphheaderprussiannavy"/>
        <w:tabs>
          <w:tab w:val="right" w:pos="10204"/>
        </w:tabs>
      </w:pPr>
      <w:r w:rsidRPr="00753011">
        <w:t xml:space="preserve">Risk </w:t>
      </w:r>
      <w:r w:rsidR="001D2095">
        <w:t>C</w:t>
      </w:r>
      <w:r w:rsidRPr="00753011">
        <w:t>onsiderations</w:t>
      </w:r>
    </w:p>
    <w:p w14:paraId="2FC19D9B" w14:textId="77777777" w:rsidR="00794888" w:rsidRPr="00970DD6" w:rsidRDefault="00794888" w:rsidP="007B5A24">
      <w:pPr>
        <w:pStyle w:val="BodyText"/>
        <w:ind w:right="-1"/>
        <w:rPr>
          <w:b/>
          <w:bCs/>
          <w:sz w:val="18"/>
          <w:szCs w:val="18"/>
        </w:rPr>
      </w:pPr>
      <w:r w:rsidRPr="00970DD6">
        <w:rPr>
          <w:b/>
          <w:bCs/>
          <w:sz w:val="18"/>
          <w:szCs w:val="18"/>
        </w:rPr>
        <w:t>ABS and MBS risk:</w:t>
      </w:r>
      <w:r w:rsidRPr="00970DD6">
        <w:rPr>
          <w:sz w:val="18"/>
          <w:szCs w:val="18"/>
        </w:rPr>
        <w:t xml:space="preserve"> The fund may invest in mortgage or asset-backed securities. The underlying borrowers of these securities may not be able to pay back the full amount that they owe, which may result in losses to the fund.</w:t>
      </w:r>
    </w:p>
    <w:p w14:paraId="31C81967" w14:textId="77777777" w:rsidR="00794888" w:rsidRPr="00970DD6" w:rsidRDefault="00794888" w:rsidP="007B5A24">
      <w:pPr>
        <w:pStyle w:val="BodyText"/>
        <w:ind w:right="-1"/>
        <w:rPr>
          <w:b/>
          <w:bCs/>
          <w:sz w:val="18"/>
          <w:szCs w:val="18"/>
        </w:rPr>
      </w:pPr>
      <w:r w:rsidRPr="00970DD6">
        <w:rPr>
          <w:b/>
          <w:bCs/>
          <w:sz w:val="18"/>
          <w:szCs w:val="18"/>
        </w:rPr>
        <w:t>Capital risk / distribution policy:</w:t>
      </w:r>
      <w:r w:rsidRPr="00970DD6">
        <w:rPr>
          <w:sz w:val="18"/>
          <w:szCs w:val="18"/>
        </w:rPr>
        <w:t xml:space="preserve"> As the fund intends to pay dividends regardless of its performance, a dividend may represent a return of part of the amount you invested.</w:t>
      </w:r>
    </w:p>
    <w:p w14:paraId="648352F1" w14:textId="77777777" w:rsidR="00794888" w:rsidRPr="00970DD6" w:rsidRDefault="00794888" w:rsidP="007B5A24">
      <w:pPr>
        <w:pStyle w:val="BodyText"/>
        <w:ind w:right="-1"/>
        <w:rPr>
          <w:b/>
          <w:bCs/>
          <w:sz w:val="18"/>
          <w:szCs w:val="18"/>
        </w:rPr>
      </w:pPr>
      <w:r w:rsidRPr="00970DD6">
        <w:rPr>
          <w:b/>
          <w:bCs/>
          <w:sz w:val="18"/>
          <w:szCs w:val="18"/>
        </w:rPr>
        <w:t>Contingent convertible bonds:</w:t>
      </w:r>
      <w:r w:rsidRPr="00970DD6">
        <w:rPr>
          <w:sz w:val="18"/>
          <w:szCs w:val="18"/>
        </w:rPr>
        <w:t xml:space="preserve"> The fund may invest in contingent convertible bonds which are bonds that convert to shares if the bond issuer's financial health deteriorates. A reduction in the financial strength of the issuer may result in losses to the fund.</w:t>
      </w:r>
    </w:p>
    <w:p w14:paraId="1D11CF2E" w14:textId="77777777" w:rsidR="00794888" w:rsidRPr="00970DD6" w:rsidRDefault="00794888" w:rsidP="007B5A24">
      <w:pPr>
        <w:pStyle w:val="BodyText"/>
        <w:ind w:right="-1"/>
        <w:rPr>
          <w:b/>
          <w:bCs/>
          <w:sz w:val="18"/>
          <w:szCs w:val="18"/>
        </w:rPr>
      </w:pPr>
      <w:r w:rsidRPr="00970DD6">
        <w:rPr>
          <w:b/>
          <w:bCs/>
          <w:sz w:val="18"/>
          <w:szCs w:val="18"/>
        </w:rPr>
        <w:t>Counterparty risk:</w:t>
      </w:r>
      <w:r w:rsidRPr="00970DD6">
        <w:rPr>
          <w:sz w:val="18"/>
          <w:szCs w:val="18"/>
        </w:rPr>
        <w:t xml:space="preserve"> The fund may have contractual agreements with counterparties. If a counterparty is unable to fulfil their obligations, the sum that they owe to the fund may be lost in part or in whole.</w:t>
      </w:r>
    </w:p>
    <w:p w14:paraId="4F45D334" w14:textId="77777777" w:rsidR="00794888" w:rsidRPr="00970DD6" w:rsidRDefault="00794888" w:rsidP="007B5A24">
      <w:pPr>
        <w:pStyle w:val="BodyText"/>
        <w:ind w:right="-1"/>
        <w:rPr>
          <w:b/>
          <w:bCs/>
          <w:sz w:val="18"/>
          <w:szCs w:val="18"/>
        </w:rPr>
      </w:pPr>
      <w:r w:rsidRPr="00970DD6">
        <w:rPr>
          <w:b/>
          <w:bCs/>
          <w:sz w:val="18"/>
          <w:szCs w:val="18"/>
        </w:rPr>
        <w:lastRenderedPageBreak/>
        <w:t>Credit risk:</w:t>
      </w:r>
      <w:r w:rsidRPr="00970DD6">
        <w:rPr>
          <w:sz w:val="18"/>
          <w:szCs w:val="18"/>
        </w:rPr>
        <w:t xml:space="preserve"> If a borrower of debt provided by the fund or a bond issuer experiences a decline in financial health, their ability to make payments of interest and principal may be affected, which may cause a decline in the value of the fund.</w:t>
      </w:r>
    </w:p>
    <w:p w14:paraId="44C45446" w14:textId="77777777" w:rsidR="00794888" w:rsidRPr="00970DD6" w:rsidRDefault="00794888" w:rsidP="007B5A24">
      <w:pPr>
        <w:pStyle w:val="BodyText"/>
        <w:ind w:right="-1"/>
        <w:rPr>
          <w:b/>
          <w:bCs/>
          <w:sz w:val="18"/>
          <w:szCs w:val="18"/>
        </w:rPr>
      </w:pPr>
      <w:r w:rsidRPr="00970DD6">
        <w:rPr>
          <w:b/>
          <w:bCs/>
          <w:sz w:val="18"/>
          <w:szCs w:val="18"/>
        </w:rPr>
        <w:t>Currency risk:</w:t>
      </w:r>
      <w:r w:rsidRPr="00970DD6">
        <w:rPr>
          <w:sz w:val="18"/>
          <w:szCs w:val="18"/>
        </w:rPr>
        <w:t xml:space="preserve"> If the fund’s investments are denominated in currencies different to the fund’s base currency, the fund may lose value </w:t>
      </w:r>
      <w:proofErr w:type="gramStart"/>
      <w:r w:rsidRPr="00970DD6">
        <w:rPr>
          <w:sz w:val="18"/>
          <w:szCs w:val="18"/>
        </w:rPr>
        <w:t>as a result of</w:t>
      </w:r>
      <w:proofErr w:type="gramEnd"/>
      <w:r w:rsidRPr="00970DD6">
        <w:rPr>
          <w:sz w:val="18"/>
          <w:szCs w:val="18"/>
        </w:rPr>
        <w:t xml:space="preserve"> movements in foreign exchange rates, otherwise known as currency rates. If the investor holds a share class in a different currency to the base currency of the fund, investors may be exposed to losses </w:t>
      </w:r>
      <w:proofErr w:type="gramStart"/>
      <w:r w:rsidRPr="00970DD6">
        <w:rPr>
          <w:sz w:val="18"/>
          <w:szCs w:val="18"/>
        </w:rPr>
        <w:t>as a result of</w:t>
      </w:r>
      <w:proofErr w:type="gramEnd"/>
      <w:r w:rsidRPr="00970DD6">
        <w:rPr>
          <w:sz w:val="18"/>
          <w:szCs w:val="18"/>
        </w:rPr>
        <w:t xml:space="preserve"> movements in currency rates.</w:t>
      </w:r>
    </w:p>
    <w:p w14:paraId="3AE1C7DD" w14:textId="77777777" w:rsidR="00794888" w:rsidRPr="00970DD6" w:rsidRDefault="00794888" w:rsidP="007B5A24">
      <w:pPr>
        <w:pStyle w:val="BodyText"/>
        <w:ind w:right="-1"/>
        <w:rPr>
          <w:b/>
          <w:bCs/>
          <w:sz w:val="18"/>
          <w:szCs w:val="18"/>
        </w:rPr>
      </w:pPr>
      <w:r w:rsidRPr="00970DD6">
        <w:rPr>
          <w:b/>
          <w:bCs/>
          <w:sz w:val="18"/>
          <w:szCs w:val="18"/>
        </w:rPr>
        <w:t>Currency risk / hedged share class:</w:t>
      </w:r>
      <w:r w:rsidRPr="00970DD6">
        <w:rPr>
          <w:sz w:val="18"/>
          <w:szCs w:val="18"/>
        </w:rPr>
        <w:t xml:space="preserve"> The currency hedging of the share class may not be fully </w:t>
      </w:r>
      <w:proofErr w:type="gramStart"/>
      <w:r w:rsidRPr="00970DD6">
        <w:rPr>
          <w:sz w:val="18"/>
          <w:szCs w:val="18"/>
        </w:rPr>
        <w:t>effective</w:t>
      </w:r>
      <w:proofErr w:type="gramEnd"/>
      <w:r w:rsidRPr="00970DD6">
        <w:rPr>
          <w:sz w:val="18"/>
          <w:szCs w:val="18"/>
        </w:rPr>
        <w:t xml:space="preserve"> and residual currency exposure may remain. The cost associated with hedging may impact performance and potential gains may be more limited than for unhedged share classes.</w:t>
      </w:r>
    </w:p>
    <w:p w14:paraId="02BD393D" w14:textId="77777777" w:rsidR="00794888" w:rsidRPr="00970DD6" w:rsidRDefault="00794888" w:rsidP="007B5A24">
      <w:pPr>
        <w:pStyle w:val="BodyText"/>
        <w:ind w:right="-1"/>
        <w:rPr>
          <w:b/>
          <w:bCs/>
          <w:sz w:val="18"/>
          <w:szCs w:val="18"/>
        </w:rPr>
      </w:pPr>
      <w:r w:rsidRPr="00970DD6">
        <w:rPr>
          <w:b/>
          <w:bCs/>
          <w:sz w:val="18"/>
          <w:szCs w:val="18"/>
        </w:rPr>
        <w:t>Derivatives risk:</w:t>
      </w:r>
      <w:r w:rsidRPr="00970DD6">
        <w:rPr>
          <w:sz w:val="18"/>
          <w:szCs w:val="18"/>
        </w:rPr>
        <w:t xml:space="preserve"> Derivatives, which are financial instruments deriving their value from an underlying asset, may be used for investment purposes and/ or to manage the portfolio efficiently. A derivative may not perform as expected, may create losses greater than the cost of the derivative and may result in losses to the fund.</w:t>
      </w:r>
    </w:p>
    <w:p w14:paraId="3049855E" w14:textId="77777777" w:rsidR="00794888" w:rsidRPr="00970DD6" w:rsidRDefault="00794888" w:rsidP="007B5A24">
      <w:pPr>
        <w:pStyle w:val="BodyText"/>
        <w:ind w:right="-1"/>
        <w:rPr>
          <w:b/>
          <w:bCs/>
          <w:sz w:val="18"/>
          <w:szCs w:val="18"/>
        </w:rPr>
      </w:pPr>
      <w:r w:rsidRPr="00970DD6">
        <w:rPr>
          <w:b/>
          <w:bCs/>
          <w:sz w:val="18"/>
          <w:szCs w:val="18"/>
        </w:rPr>
        <w:t>Emerging markets &amp; frontier risk:</w:t>
      </w:r>
      <w:r w:rsidRPr="00970DD6">
        <w:rPr>
          <w:sz w:val="18"/>
          <w:szCs w:val="18"/>
        </w:rPr>
        <w:t xml:space="preserve"> Emerging markets, and especially frontier markets, generally carry greater political, legal, counterparty, operational and liquidity risk than developed markets.</w:t>
      </w:r>
    </w:p>
    <w:p w14:paraId="0F8E4770" w14:textId="77777777" w:rsidR="00794888" w:rsidRPr="00970DD6" w:rsidRDefault="00794888" w:rsidP="007B5A24">
      <w:pPr>
        <w:pStyle w:val="BodyText"/>
        <w:ind w:right="-1"/>
        <w:rPr>
          <w:b/>
          <w:bCs/>
          <w:sz w:val="18"/>
          <w:szCs w:val="18"/>
        </w:rPr>
      </w:pPr>
      <w:r w:rsidRPr="00970DD6">
        <w:rPr>
          <w:b/>
          <w:bCs/>
          <w:sz w:val="18"/>
          <w:szCs w:val="18"/>
        </w:rPr>
        <w:t>High yield bond risk:</w:t>
      </w:r>
      <w:r w:rsidRPr="00970DD6">
        <w:rPr>
          <w:sz w:val="18"/>
          <w:szCs w:val="18"/>
        </w:rPr>
        <w:t xml:space="preserve"> High yield bonds (normally lower rated or unrated) generally carry greater market, credit and liquidity risk meaning greater uncertainty of returns.</w:t>
      </w:r>
    </w:p>
    <w:p w14:paraId="60574776" w14:textId="77777777" w:rsidR="00794888" w:rsidRPr="00970DD6" w:rsidRDefault="00794888" w:rsidP="007B5A24">
      <w:pPr>
        <w:pStyle w:val="BodyText"/>
        <w:ind w:right="-1"/>
        <w:rPr>
          <w:b/>
          <w:bCs/>
          <w:sz w:val="18"/>
          <w:szCs w:val="18"/>
        </w:rPr>
      </w:pPr>
      <w:r w:rsidRPr="00970DD6">
        <w:rPr>
          <w:b/>
          <w:bCs/>
          <w:sz w:val="18"/>
          <w:szCs w:val="18"/>
        </w:rPr>
        <w:t>Interest rate risk:</w:t>
      </w:r>
      <w:r w:rsidRPr="00970DD6">
        <w:rPr>
          <w:sz w:val="18"/>
          <w:szCs w:val="18"/>
        </w:rPr>
        <w:t xml:space="preserve"> The fund may lose value as a direct result of interest rate changes.</w:t>
      </w:r>
    </w:p>
    <w:p w14:paraId="0F5D676A" w14:textId="77777777" w:rsidR="00794888" w:rsidRPr="00970DD6" w:rsidRDefault="00794888" w:rsidP="007B5A24">
      <w:pPr>
        <w:pStyle w:val="BodyText"/>
        <w:ind w:right="-1"/>
        <w:rPr>
          <w:b/>
          <w:bCs/>
          <w:sz w:val="18"/>
          <w:szCs w:val="18"/>
        </w:rPr>
      </w:pPr>
      <w:r w:rsidRPr="00970DD6">
        <w:rPr>
          <w:b/>
          <w:bCs/>
          <w:sz w:val="18"/>
          <w:szCs w:val="18"/>
        </w:rPr>
        <w:t>Liquidity risk:</w:t>
      </w:r>
      <w:r w:rsidRPr="00970DD6">
        <w:rPr>
          <w:sz w:val="18"/>
          <w:szCs w:val="18"/>
        </w:rPr>
        <w:t xml:space="preserve"> In difficult market conditions, the fund may not be able to sell a security for full value or at all. This could affect performance and could cause the fund to defer or suspend redemptions of its shares, meaning investors may not be able to have immediate access to their holdings.</w:t>
      </w:r>
    </w:p>
    <w:p w14:paraId="0D55166B" w14:textId="77777777" w:rsidR="00794888" w:rsidRPr="00970DD6" w:rsidRDefault="00794888" w:rsidP="007B5A24">
      <w:pPr>
        <w:pStyle w:val="BodyText"/>
        <w:ind w:right="-1"/>
        <w:rPr>
          <w:b/>
          <w:bCs/>
          <w:sz w:val="18"/>
          <w:szCs w:val="18"/>
        </w:rPr>
      </w:pPr>
      <w:r w:rsidRPr="00970DD6">
        <w:rPr>
          <w:b/>
          <w:bCs/>
          <w:sz w:val="18"/>
          <w:szCs w:val="18"/>
        </w:rPr>
        <w:t>Market risk:</w:t>
      </w:r>
      <w:r w:rsidRPr="00970DD6">
        <w:rPr>
          <w:sz w:val="18"/>
          <w:szCs w:val="18"/>
        </w:rPr>
        <w:t xml:space="preserve"> The value of investments can go up and down and an investor may not get back the amount initially invested.</w:t>
      </w:r>
    </w:p>
    <w:p w14:paraId="1449B03C" w14:textId="77777777" w:rsidR="00794888" w:rsidRPr="00970DD6" w:rsidRDefault="00794888" w:rsidP="007B5A24">
      <w:pPr>
        <w:pStyle w:val="BodyText"/>
        <w:ind w:right="-1"/>
        <w:rPr>
          <w:b/>
          <w:bCs/>
          <w:sz w:val="18"/>
          <w:szCs w:val="18"/>
        </w:rPr>
      </w:pPr>
      <w:r w:rsidRPr="00970DD6">
        <w:rPr>
          <w:b/>
          <w:bCs/>
          <w:sz w:val="18"/>
          <w:szCs w:val="18"/>
        </w:rPr>
        <w:t>Operational risk:</w:t>
      </w:r>
      <w:r w:rsidRPr="00970DD6">
        <w:rPr>
          <w:sz w:val="18"/>
          <w:szCs w:val="18"/>
        </w:rPr>
        <w:t xml:space="preserve"> Operational processes, including those related to the safekeeping of assets, may fail.  This may result in losses to the fund.</w:t>
      </w:r>
    </w:p>
    <w:p w14:paraId="69FAAB76" w14:textId="77777777" w:rsidR="00794888" w:rsidRPr="00970DD6" w:rsidRDefault="00794888" w:rsidP="007B5A24">
      <w:pPr>
        <w:pStyle w:val="BodyText"/>
        <w:ind w:right="-1"/>
        <w:rPr>
          <w:b/>
          <w:bCs/>
          <w:sz w:val="18"/>
          <w:szCs w:val="18"/>
        </w:rPr>
      </w:pPr>
      <w:r w:rsidRPr="00970DD6">
        <w:rPr>
          <w:b/>
          <w:bCs/>
          <w:sz w:val="18"/>
          <w:szCs w:val="18"/>
        </w:rPr>
        <w:t>Performance risk:</w:t>
      </w:r>
      <w:r w:rsidRPr="00970DD6">
        <w:rPr>
          <w:sz w:val="18"/>
          <w:szCs w:val="18"/>
        </w:rPr>
        <w:t xml:space="preserve"> Investment objectives express an intended result but there is no guarantee that such a result will be achieved. Depending on market conditions and the </w:t>
      </w:r>
      <w:proofErr w:type="spellStart"/>
      <w:r w:rsidRPr="00970DD6">
        <w:rPr>
          <w:sz w:val="18"/>
          <w:szCs w:val="18"/>
        </w:rPr>
        <w:t>macro economic</w:t>
      </w:r>
      <w:proofErr w:type="spellEnd"/>
      <w:r w:rsidRPr="00970DD6">
        <w:rPr>
          <w:sz w:val="18"/>
          <w:szCs w:val="18"/>
        </w:rPr>
        <w:t xml:space="preserve"> environment, investment objectives may become more difficult to achieve.</w:t>
      </w:r>
    </w:p>
    <w:p w14:paraId="5090BA83" w14:textId="77777777" w:rsidR="00794888" w:rsidRPr="00970DD6" w:rsidRDefault="00794888" w:rsidP="007B5A24">
      <w:pPr>
        <w:pStyle w:val="BodyText"/>
        <w:ind w:right="-1"/>
        <w:rPr>
          <w:b/>
          <w:bCs/>
          <w:sz w:val="18"/>
          <w:szCs w:val="18"/>
        </w:rPr>
      </w:pPr>
      <w:r w:rsidRPr="00970DD6">
        <w:rPr>
          <w:b/>
          <w:bCs/>
          <w:sz w:val="18"/>
          <w:szCs w:val="18"/>
        </w:rPr>
        <w:t>Sustainability risk:</w:t>
      </w:r>
      <w:r w:rsidRPr="00970DD6">
        <w:rPr>
          <w:sz w:val="18"/>
          <w:szCs w:val="18"/>
        </w:rPr>
        <w:t xml:space="preserve"> The fund has environmental and/or social characteristics. This means it may have limited exposure to some companies, industries or sectors and may forego certain investment opportunities, or dispose of certain holdings, that do not align with its sustainability criteria chosen by the investment manager. The fund may invest in companies that do not reflect the beliefs and values of any </w:t>
      </w:r>
      <w:proofErr w:type="gramStart"/>
      <w:r w:rsidRPr="00970DD6">
        <w:rPr>
          <w:sz w:val="18"/>
          <w:szCs w:val="18"/>
        </w:rPr>
        <w:t>particular investor</w:t>
      </w:r>
      <w:proofErr w:type="gramEnd"/>
      <w:r w:rsidRPr="00970DD6">
        <w:rPr>
          <w:sz w:val="18"/>
          <w:szCs w:val="18"/>
        </w:rPr>
        <w:t>.</w:t>
      </w:r>
    </w:p>
    <w:p w14:paraId="5B501BF7" w14:textId="77777777" w:rsidR="003911E6" w:rsidRPr="00310254" w:rsidRDefault="003911E6" w:rsidP="00310254">
      <w:pPr>
        <w:pStyle w:val="BodyText"/>
        <w:spacing w:before="240"/>
        <w:rPr>
          <w:rFonts w:eastAsia="Times New Roman" w:cs="Arial"/>
          <w:sz w:val="16"/>
          <w:szCs w:val="16"/>
        </w:rPr>
      </w:pPr>
      <w:r>
        <w:br w:type="page"/>
      </w:r>
      <w:r w:rsidR="00310254" w:rsidRPr="00310254">
        <w:rPr>
          <w:b/>
          <w:bCs/>
          <w:sz w:val="16"/>
          <w:szCs w:val="16"/>
        </w:rPr>
        <w:lastRenderedPageBreak/>
        <w:t>A</w:t>
      </w:r>
      <w:r w:rsidRPr="00310254">
        <w:rPr>
          <w:b/>
          <w:bCs/>
          <w:sz w:val="16"/>
          <w:szCs w:val="16"/>
        </w:rPr>
        <w:t>dditional Disclosures</w:t>
      </w:r>
    </w:p>
    <w:p w14:paraId="2B4DAD8C" w14:textId="77777777" w:rsidR="00FE3D18" w:rsidRPr="00FE3D18" w:rsidRDefault="00FE3D18" w:rsidP="00FE3D18">
      <w:pPr>
        <w:pStyle w:val="Disclaimertext"/>
        <w:spacing w:after="120"/>
        <w:rPr>
          <w:i/>
          <w:iCs/>
          <w:szCs w:val="16"/>
        </w:rPr>
      </w:pPr>
      <w:r w:rsidRPr="00FE3D18">
        <w:rPr>
          <w:i/>
          <w:iCs/>
          <w:szCs w:val="16"/>
        </w:rPr>
        <w:t xml:space="preserve">The disclosures below cover Schroders' proprietary sustainability tools, third-party index and data providers, and related EU regulatory requirements. Each disclosure applies only to the extent that the relevant tool output, index, data, ESG rating or content </w:t>
      </w:r>
      <w:proofErr w:type="gramStart"/>
      <w:r w:rsidRPr="00FE3D18">
        <w:rPr>
          <w:i/>
          <w:iCs/>
          <w:szCs w:val="16"/>
        </w:rPr>
        <w:t>actually appears</w:t>
      </w:r>
      <w:proofErr w:type="gramEnd"/>
      <w:r w:rsidRPr="00FE3D18">
        <w:rPr>
          <w:i/>
          <w:iCs/>
          <w:szCs w:val="16"/>
        </w:rPr>
        <w:t xml:space="preserve"> in this material. Their inclusion is not intended as, and should not be read as, a sustainability-related claim or an indication that any </w:t>
      </w:r>
      <w:proofErr w:type="gramStart"/>
      <w:r w:rsidRPr="00FE3D18">
        <w:rPr>
          <w:i/>
          <w:iCs/>
          <w:szCs w:val="16"/>
        </w:rPr>
        <w:t>particular index</w:t>
      </w:r>
      <w:proofErr w:type="gramEnd"/>
      <w:r w:rsidRPr="00FE3D18">
        <w:rPr>
          <w:i/>
          <w:iCs/>
          <w:szCs w:val="16"/>
        </w:rPr>
        <w:t xml:space="preserve"> or data source has been used</w:t>
      </w:r>
    </w:p>
    <w:p w14:paraId="5E078D07" w14:textId="77777777" w:rsidR="00FE3D18" w:rsidRPr="00EB7D56" w:rsidRDefault="00FE3D18" w:rsidP="00FE3D18">
      <w:pPr>
        <w:pStyle w:val="Disclaimertext"/>
        <w:spacing w:after="120"/>
        <w:rPr>
          <w:szCs w:val="16"/>
        </w:rPr>
      </w:pPr>
      <w:r w:rsidRPr="00EB7D56">
        <w:rPr>
          <w:szCs w:val="16"/>
        </w:rPr>
        <w:t xml:space="preserve">For EU/EEA readers: any ESG ratings within the meaning of Regulation (EU) 2024/3005 contained herein are issued by Schroder Investment Management (Europe) S.A., 5 </w:t>
      </w:r>
      <w:proofErr w:type="spellStart"/>
      <w:r w:rsidRPr="00EB7D56">
        <w:rPr>
          <w:szCs w:val="16"/>
        </w:rPr>
        <w:t>Heienhaff</w:t>
      </w:r>
      <w:proofErr w:type="spellEnd"/>
      <w:r w:rsidRPr="00EB7D56">
        <w:rPr>
          <w:szCs w:val="16"/>
        </w:rPr>
        <w:t xml:space="preserve">, L-1736 </w:t>
      </w:r>
      <w:proofErr w:type="spellStart"/>
      <w:r w:rsidRPr="00EB7D56">
        <w:rPr>
          <w:szCs w:val="16"/>
        </w:rPr>
        <w:t>Senningerberg</w:t>
      </w:r>
      <w:proofErr w:type="spellEnd"/>
      <w:r w:rsidRPr="00EB7D56">
        <w:rPr>
          <w:szCs w:val="16"/>
        </w:rPr>
        <w:t xml:space="preserve">, Luxembourg. For further information, please go to </w:t>
      </w:r>
      <w:hyperlink r:id="rId9" w:history="1">
        <w:r w:rsidRPr="00EB7D56">
          <w:rPr>
            <w:rStyle w:val="Hyperlink"/>
            <w:szCs w:val="16"/>
          </w:rPr>
          <w:t>https://www.schroders.com/en/global/individual/sustainability/sustainability-policies-disclosures-and-reports/</w:t>
        </w:r>
      </w:hyperlink>
      <w:r w:rsidRPr="00EB7D56">
        <w:rPr>
          <w:szCs w:val="16"/>
        </w:rPr>
        <w:t>.</w:t>
      </w:r>
    </w:p>
    <w:p w14:paraId="62BA3615" w14:textId="77777777" w:rsidR="00716D6C" w:rsidRPr="00716D6C" w:rsidRDefault="00716D6C" w:rsidP="00716D6C">
      <w:pPr>
        <w:pStyle w:val="Disclaimertext"/>
        <w:spacing w:after="120"/>
        <w:rPr>
          <w:szCs w:val="16"/>
        </w:rPr>
      </w:pPr>
      <w:r w:rsidRPr="00716D6C">
        <w:rPr>
          <w:b/>
          <w:bCs/>
          <w:szCs w:val="16"/>
        </w:rPr>
        <w:t>SustainEx™</w:t>
      </w:r>
      <w:r w:rsidRPr="00716D6C">
        <w:rPr>
          <w:szCs w:val="16"/>
        </w:rPr>
        <w:t xml:space="preserve"> provides an aggregate estimate of the social and environmental costs and benefits that an issuer may create. It does this by scoring the issuer against a list of indicators – scores may be positive (for example, when an issuer pays more than average living wages) or negative (for example, when an issuer emits carbon). The result is expressed as an aggregate score of the sustainability indicators for each issuer, specifically a notional percentage (positive or negative) of sales or GDP of the relevant underlying issuer. SustainEx™ utilises and is reliant on third party data (including third party estimates) as well as Schroders’ own modelling assumptions, and the outcome may differ from other sustainability tools and measures. </w:t>
      </w:r>
    </w:p>
    <w:p w14:paraId="1CB9BD17" w14:textId="77777777" w:rsidR="00716D6C" w:rsidRPr="00716D6C" w:rsidRDefault="00716D6C" w:rsidP="00716D6C">
      <w:pPr>
        <w:pStyle w:val="Disclaimertext"/>
        <w:spacing w:after="120"/>
        <w:rPr>
          <w:szCs w:val="16"/>
        </w:rPr>
      </w:pPr>
      <w:r w:rsidRPr="00716D6C">
        <w:rPr>
          <w:szCs w:val="16"/>
        </w:rPr>
        <w:t xml:space="preserve">Where SustainEx™ relies on data and estimates produced by third parties, Schroders cannot and does not warrant the accuracy, completeness and adequacy of such third party data and estimates. </w:t>
      </w:r>
    </w:p>
    <w:p w14:paraId="1C97DFB1" w14:textId="77777777" w:rsidR="00716D6C" w:rsidRPr="00716D6C" w:rsidRDefault="00716D6C" w:rsidP="00716D6C">
      <w:pPr>
        <w:pStyle w:val="Disclaimertext"/>
        <w:spacing w:after="120"/>
        <w:rPr>
          <w:szCs w:val="16"/>
        </w:rPr>
      </w:pPr>
      <w:r w:rsidRPr="00716D6C">
        <w:rPr>
          <w:szCs w:val="16"/>
        </w:rPr>
        <w:t xml:space="preserve">Like any model, SustainEx™ will evolve and develop over time as Schroders continues to assess, refine and add to the metrics and their relative contributions. Generating SustainEx™ scores involves an element of judgment and subjectivity across the different metrics chosen by Schroders, and accordingly Schroders does not accept any liability arising from any inaccuracy or omission in, or the use of or reliance on, SustainEx™ scores. </w:t>
      </w:r>
    </w:p>
    <w:p w14:paraId="096D55F5" w14:textId="77777777" w:rsidR="00716D6C" w:rsidRPr="00716D6C" w:rsidRDefault="00716D6C" w:rsidP="00716D6C">
      <w:pPr>
        <w:pStyle w:val="Disclaimertext"/>
        <w:spacing w:after="120"/>
        <w:rPr>
          <w:szCs w:val="16"/>
        </w:rPr>
      </w:pPr>
      <w:r w:rsidRPr="00716D6C">
        <w:rPr>
          <w:szCs w:val="16"/>
        </w:rPr>
        <w:t xml:space="preserve">As the model evolves, changes made to how metrics are applied may result in changes to the SustainEx™ score of any issuer and ultimately the overall fund/portfolio score. At the same time, of course, the issuer’s SustainEx™ performance might improve or deteriorate. </w:t>
      </w:r>
    </w:p>
    <w:p w14:paraId="42874483" w14:textId="77777777" w:rsidR="00716D6C" w:rsidRDefault="00716D6C" w:rsidP="00716D6C">
      <w:pPr>
        <w:pStyle w:val="Disclaimertext"/>
        <w:spacing w:before="0" w:after="120" w:line="240" w:lineRule="auto"/>
        <w:rPr>
          <w:szCs w:val="16"/>
        </w:rPr>
      </w:pPr>
      <w:r w:rsidRPr="00716D6C">
        <w:rPr>
          <w:szCs w:val="16"/>
        </w:rPr>
        <w:t xml:space="preserve">Schroders’ proprietary sustainability tools including SustainEx™ may not cover </w:t>
      </w:r>
      <w:proofErr w:type="gramStart"/>
      <w:r w:rsidRPr="00716D6C">
        <w:rPr>
          <w:szCs w:val="16"/>
        </w:rPr>
        <w:t>all of</w:t>
      </w:r>
      <w:proofErr w:type="gramEnd"/>
      <w:r w:rsidRPr="00716D6C">
        <w:rPr>
          <w:szCs w:val="16"/>
        </w:rPr>
        <w:t xml:space="preserve"> a fund/portfolio’s holdings from time to time, in which case Schroders may use a range of alternative methods to assess the relevant holding. In addition, certain types of assets (such as cash) are treated as neutral and are therefore not considered by our proprietary tools. Other types of assets such as equity indices and index derivatives may not be considered by our proprietary tools and in such case would be excluded from a product’s sustainability score.</w:t>
      </w:r>
    </w:p>
    <w:p w14:paraId="5A5C2B62" w14:textId="77777777" w:rsidR="00716D6C" w:rsidRDefault="00716D6C" w:rsidP="00716D6C">
      <w:pPr>
        <w:pStyle w:val="Disclaimertext"/>
        <w:spacing w:before="0" w:after="120" w:line="240" w:lineRule="auto"/>
        <w:rPr>
          <w:szCs w:val="16"/>
        </w:rPr>
      </w:pPr>
      <w:r w:rsidRPr="00067C96">
        <w:rPr>
          <w:b/>
          <w:bCs/>
          <w:szCs w:val="16"/>
        </w:rPr>
        <w:t>CONTEXT™</w:t>
      </w:r>
      <w:r w:rsidRPr="00067C96">
        <w:rPr>
          <w:szCs w:val="16"/>
        </w:rPr>
        <w:t xml:space="preserve"> is a proprietary tool used by Schroders to support the analysis of companies’ and issuers’ management of the environmental, social and governance trends, challenges and opportunities that Schroders believes to be most relevant to that company’s or issuer’s industry. It provides access to a wide range of data sources chosen by Schroders. Any views or conclusions integrated into Schroders’ investment-decision making or research by fund managers or analysts </w:t>
      </w:r>
      <w:proofErr w:type="gramStart"/>
      <w:r w:rsidRPr="00067C96">
        <w:rPr>
          <w:szCs w:val="16"/>
        </w:rPr>
        <w:t>through the use of</w:t>
      </w:r>
      <w:proofErr w:type="gramEnd"/>
      <w:r w:rsidRPr="00067C96">
        <w:rPr>
          <w:szCs w:val="16"/>
        </w:rPr>
        <w:t xml:space="preserve"> CONTEXT™ will reflect their judgement of the sustainability of one or more aspects of the relevant company’s or issuer’s business model, rather than a systematic and data-driven score of the company or issuer in question.</w:t>
      </w:r>
    </w:p>
    <w:p w14:paraId="1CF9279E" w14:textId="77777777" w:rsidR="00716D6C" w:rsidRDefault="00716D6C" w:rsidP="00716D6C">
      <w:pPr>
        <w:pStyle w:val="BodyText"/>
        <w:rPr>
          <w:sz w:val="16"/>
          <w:szCs w:val="16"/>
        </w:rPr>
      </w:pPr>
      <w:proofErr w:type="spellStart"/>
      <w:r w:rsidRPr="00716D6C">
        <w:rPr>
          <w:b/>
          <w:bCs/>
          <w:sz w:val="16"/>
          <w:szCs w:val="16"/>
        </w:rPr>
        <w:t>NatCapEx</w:t>
      </w:r>
      <w:proofErr w:type="spellEnd"/>
      <w:r w:rsidRPr="00716D6C">
        <w:rPr>
          <w:b/>
          <w:bCs/>
          <w:sz w:val="16"/>
          <w:szCs w:val="16"/>
        </w:rPr>
        <w:t xml:space="preserve">™ </w:t>
      </w:r>
      <w:r w:rsidRPr="00716D6C">
        <w:rPr>
          <w:sz w:val="16"/>
          <w:szCs w:val="16"/>
        </w:rPr>
        <w:t xml:space="preserve">provides an estimate of the potential “impact” that an issuer may create in terms of net nature-related environmental “costs” or “benefits” of that issuer. It does this by using certain metrics with respect to that </w:t>
      </w:r>
      <w:proofErr w:type="gramStart"/>
      <w:r w:rsidRPr="00716D6C">
        <w:rPr>
          <w:sz w:val="16"/>
          <w:szCs w:val="16"/>
        </w:rPr>
        <w:t>issuer, and</w:t>
      </w:r>
      <w:proofErr w:type="gramEnd"/>
      <w:r w:rsidRPr="00716D6C">
        <w:rPr>
          <w:sz w:val="16"/>
          <w:szCs w:val="16"/>
        </w:rPr>
        <w:t xml:space="preserve"> quantifying them positively (for example by recycling plastics) and negatively (for example the non-GHG air pollutants an issuer emits) to produce an aggregate notional measure of the relevant underlying issuer’s environmental “costs”, “externalities” or “impacts”. </w:t>
      </w:r>
      <w:proofErr w:type="spellStart"/>
      <w:r w:rsidRPr="00716D6C">
        <w:rPr>
          <w:sz w:val="16"/>
          <w:szCs w:val="16"/>
        </w:rPr>
        <w:t>NatCapEx</w:t>
      </w:r>
      <w:proofErr w:type="spellEnd"/>
      <w:r w:rsidRPr="00716D6C">
        <w:rPr>
          <w:sz w:val="16"/>
          <w:szCs w:val="16"/>
        </w:rPr>
        <w:t xml:space="preserve">™ utilises and is reliant on third party data (including third party estimates) as well as Schroders’ own modelling assumptions, and the outcome may differ from other sustainability tools and measures. Where </w:t>
      </w:r>
      <w:proofErr w:type="spellStart"/>
      <w:r w:rsidRPr="00716D6C">
        <w:rPr>
          <w:sz w:val="16"/>
          <w:szCs w:val="16"/>
        </w:rPr>
        <w:t>NatCapEx</w:t>
      </w:r>
      <w:proofErr w:type="spellEnd"/>
      <w:r w:rsidRPr="00716D6C">
        <w:rPr>
          <w:sz w:val="16"/>
          <w:szCs w:val="16"/>
        </w:rPr>
        <w:t xml:space="preserve">™ relies on data and estimates produced by third parties, Schroders seeks to ensure that such data and estimates are accurate, but Schroders cannot and does not warrant the accuracy, completeness and adequacy of such third party data and estimates. Like any model, </w:t>
      </w:r>
      <w:proofErr w:type="spellStart"/>
      <w:r w:rsidRPr="00716D6C">
        <w:rPr>
          <w:sz w:val="16"/>
          <w:szCs w:val="16"/>
        </w:rPr>
        <w:t>NatCapEx</w:t>
      </w:r>
      <w:proofErr w:type="spellEnd"/>
      <w:r w:rsidRPr="00716D6C">
        <w:rPr>
          <w:sz w:val="16"/>
          <w:szCs w:val="16"/>
        </w:rPr>
        <w:t xml:space="preserve">™ will evolve and develop over time as Schroders continues to assess, refine and add to the metrics and their relative contributions. Generating </w:t>
      </w:r>
      <w:proofErr w:type="spellStart"/>
      <w:r w:rsidRPr="00716D6C">
        <w:rPr>
          <w:sz w:val="16"/>
          <w:szCs w:val="16"/>
        </w:rPr>
        <w:t>NatCapEx</w:t>
      </w:r>
      <w:proofErr w:type="spellEnd"/>
      <w:r w:rsidRPr="00716D6C">
        <w:rPr>
          <w:sz w:val="16"/>
          <w:szCs w:val="16"/>
        </w:rPr>
        <w:t xml:space="preserve">™ scores involves an element of judgment and subjectivity across the different metrics chosen by Schroders, and accordingly Schroders does not accept any liability arising from any inaccuracy or omission in, or the use of or reliance on, </w:t>
      </w:r>
      <w:proofErr w:type="spellStart"/>
      <w:r w:rsidRPr="00716D6C">
        <w:rPr>
          <w:sz w:val="16"/>
          <w:szCs w:val="16"/>
        </w:rPr>
        <w:t>NatCapEx</w:t>
      </w:r>
      <w:proofErr w:type="spellEnd"/>
      <w:r w:rsidRPr="00716D6C">
        <w:rPr>
          <w:sz w:val="16"/>
          <w:szCs w:val="16"/>
        </w:rPr>
        <w:t xml:space="preserve">™ scores. As the model evolves, changes made to how metrics are applied may result in changes to the </w:t>
      </w:r>
      <w:proofErr w:type="spellStart"/>
      <w:r w:rsidRPr="00716D6C">
        <w:rPr>
          <w:sz w:val="16"/>
          <w:szCs w:val="16"/>
        </w:rPr>
        <w:t>NatCapEx</w:t>
      </w:r>
      <w:proofErr w:type="spellEnd"/>
      <w:r w:rsidRPr="00716D6C">
        <w:rPr>
          <w:sz w:val="16"/>
          <w:szCs w:val="16"/>
        </w:rPr>
        <w:t xml:space="preserve">™ score of any issuer and ultimately the overall fund/portfolio score. At the same time, of course, the issuer’s </w:t>
      </w:r>
      <w:proofErr w:type="spellStart"/>
      <w:r w:rsidRPr="00716D6C">
        <w:rPr>
          <w:sz w:val="16"/>
          <w:szCs w:val="16"/>
        </w:rPr>
        <w:t>NatCapEx</w:t>
      </w:r>
      <w:proofErr w:type="spellEnd"/>
      <w:r w:rsidRPr="00716D6C">
        <w:rPr>
          <w:sz w:val="16"/>
          <w:szCs w:val="16"/>
        </w:rPr>
        <w:t xml:space="preserve">™ performance might improve or deteriorate. Schroders’ proprietary sustainability tools including </w:t>
      </w:r>
      <w:proofErr w:type="spellStart"/>
      <w:r w:rsidRPr="00716D6C">
        <w:rPr>
          <w:sz w:val="16"/>
          <w:szCs w:val="16"/>
        </w:rPr>
        <w:t>NatCapEx</w:t>
      </w:r>
      <w:proofErr w:type="spellEnd"/>
      <w:r w:rsidRPr="00716D6C">
        <w:rPr>
          <w:sz w:val="16"/>
          <w:szCs w:val="16"/>
        </w:rPr>
        <w:t xml:space="preserve">™ may not cover </w:t>
      </w:r>
      <w:proofErr w:type="gramStart"/>
      <w:r w:rsidRPr="00716D6C">
        <w:rPr>
          <w:sz w:val="16"/>
          <w:szCs w:val="16"/>
        </w:rPr>
        <w:t>all of</w:t>
      </w:r>
      <w:proofErr w:type="gramEnd"/>
      <w:r w:rsidRPr="00716D6C">
        <w:rPr>
          <w:sz w:val="16"/>
          <w:szCs w:val="16"/>
        </w:rPr>
        <w:t xml:space="preserve"> a fund/portfolio’s holdings from time to time, in which case Schroders may use a range of alternative methods to assess the relevant holding. In addition, certain types of assets (such as cash and certain equivalent securities) are treated as neutral and are therefore not considered by our proprietary tools. Other types of assets such as equity indices and index derivatives may not be considered by our proprietary tools and in such case would be excluded from a product’s sustainability score.</w:t>
      </w:r>
    </w:p>
    <w:p w14:paraId="1D71AA26" w14:textId="77777777" w:rsidR="00716D6C" w:rsidRPr="00716D6C" w:rsidRDefault="00716D6C" w:rsidP="00716D6C">
      <w:pPr>
        <w:pStyle w:val="BodyText"/>
        <w:rPr>
          <w:sz w:val="16"/>
          <w:szCs w:val="16"/>
        </w:rPr>
      </w:pPr>
      <w:r w:rsidRPr="00716D6C">
        <w:rPr>
          <w:b/>
          <w:bCs/>
          <w:sz w:val="16"/>
          <w:szCs w:val="16"/>
        </w:rPr>
        <w:t xml:space="preserve">ThemEx™ </w:t>
      </w:r>
      <w:r w:rsidRPr="00716D6C">
        <w:rPr>
          <w:sz w:val="16"/>
          <w:szCs w:val="16"/>
        </w:rPr>
        <w:t xml:space="preserve">is part of Schroders’ suite of proprietary sustainability tools. ThemEx™ seeks to measure the alignment of a company’s products and services to a range of sustainable investment themes, including Schroders’ Super Themes (Climate Change, Demographic Shifts, Natural Capital Management, Societal Change, Technological Innovation) and the United Nations’ Sustainable Development Goals. Alignment is estimated systematically based on the company’s revenue from its underlying business activities. We draw on a range of data sources including data we have collected and aggregated ourselves. The model output estimates the degree to which business activities are positively or negatively aligned to super themes or the UN SDGs. Some business activities have complex and offsetting exposures which we aim to capture through alignment to multiple themes. Fertilisers, for instance, are positively aligned to reducing world hunger but this should be offset against the negative impacts on biodiversity. ThemEx™ will evolve and develop over time as Schroders continues to assess and refine the tool, including where applicable according to research and publications. As ThemEx™ is focused on revenue alignment from a company’s products and services, there is no alignment for operationally focused SDGs such as SDG 13 – Climate Action.  </w:t>
      </w:r>
    </w:p>
    <w:p w14:paraId="2C992DCD" w14:textId="77777777" w:rsidR="00716D6C" w:rsidRPr="00716D6C" w:rsidRDefault="00716D6C" w:rsidP="00716D6C">
      <w:pPr>
        <w:pStyle w:val="BodyText"/>
        <w:rPr>
          <w:sz w:val="16"/>
          <w:szCs w:val="16"/>
        </w:rPr>
      </w:pPr>
      <w:r w:rsidRPr="00716D6C">
        <w:rPr>
          <w:sz w:val="16"/>
          <w:szCs w:val="16"/>
        </w:rPr>
        <w:lastRenderedPageBreak/>
        <w:t xml:space="preserve">Schroders’ proprietary tools, including ThemEx™, may not cover </w:t>
      </w:r>
      <w:proofErr w:type="gramStart"/>
      <w:r w:rsidRPr="00716D6C">
        <w:rPr>
          <w:sz w:val="16"/>
          <w:szCs w:val="16"/>
        </w:rPr>
        <w:t>all of</w:t>
      </w:r>
      <w:proofErr w:type="gramEnd"/>
      <w:r w:rsidRPr="00716D6C">
        <w:rPr>
          <w:sz w:val="16"/>
          <w:szCs w:val="16"/>
        </w:rPr>
        <w:t xml:space="preserve"> a portfolio’s holdings from time to time, in which case Schroders may use a range of alternative methods to assess the relevant holding. In addition, certain types of assets (such as cash) are treated as neutral and are therefore not considered by our proprietary tools.</w:t>
      </w:r>
    </w:p>
    <w:p w14:paraId="0B7EDB95" w14:textId="77777777" w:rsidR="00716D6C" w:rsidRPr="00716D6C" w:rsidRDefault="00716D6C" w:rsidP="00716D6C">
      <w:pPr>
        <w:pStyle w:val="BodyText"/>
        <w:rPr>
          <w:sz w:val="16"/>
          <w:szCs w:val="16"/>
        </w:rPr>
      </w:pPr>
      <w:r w:rsidRPr="00716D6C">
        <w:rPr>
          <w:sz w:val="16"/>
          <w:szCs w:val="16"/>
        </w:rPr>
        <w:t>Overall net scores are generated based on the output of Schroders’ proprietary sustainability tool, ThemEx™, which seeks to measure the alignment of a company’s products and services to a range of sustainable investment themes, including Schroders’ Super Themes (Climate Change, Demographic Shifts, Natural Capital Management, Societal Change, Technological Innovation) and the United Nations’ Sustainable Development Goals. It does this by aggregating company scaled revenue exposure to business activities; the result is expressed as a notional percentage (positive or negative) of scaled revenue of the relevant underlying company. For example, a company with a ThemEx™ net score of +100% has revenue from products and services that are deemed completely positively aligned with one or more sustainable investment themes. Where revenue is aligned with multiple themes, to avoid revenue overstatement at the net level, the net alignment strength for a business activity is limited to 1. This means that if a company has full positive alignment with two or more themes for a business activity, the revenue exposure is only considered once at the net level but accounted for in both themes in a theme view. As such, SDG and super theme breakdown scores may not necessarily total to the overall net score. Additionally, as the UN SDGs are not identical to Schroders’ super themes, the overall SDG net score may not be the same as the overall theme net score in some cases.</w:t>
      </w:r>
    </w:p>
    <w:p w14:paraId="1CBA88E5" w14:textId="77777777" w:rsidR="00716D6C" w:rsidRPr="00716D6C" w:rsidRDefault="00716D6C" w:rsidP="00716D6C">
      <w:pPr>
        <w:pStyle w:val="BodyText"/>
        <w:rPr>
          <w:sz w:val="16"/>
          <w:szCs w:val="16"/>
        </w:rPr>
      </w:pPr>
      <w:r w:rsidRPr="00716D6C">
        <w:rPr>
          <w:sz w:val="16"/>
          <w:szCs w:val="16"/>
        </w:rPr>
        <w:t>Schroders’ proprietary sustainability tools generate scores by using certain metrics and how scores are generated may change over time. Schroders’ proprietary sustainability tools may utilise and be reliant on third party data (including third party estimates) as well as our own modelling assumptions, and the outcome may differ from other sustainability tools and measures. Schroders seeks to ensure that such third party data and estimates are accurate, but Schroders cannot confirm the accuracy, completeness and adequacy of such third party data and estimates. Generating scores involves an element of judgment and subjectivity by Schroders, and, as Schroders’ proprietary sustainability tools evolve, changes made to how metrics are applied may result in changes to the score of any company. At the same time, of course, the company’s performance might improve or deteriorate. A company will be scored across applicable metrics and may score higher or lower on some metrics than on others. The scores are combined to provide an overall net score for the issuer.</w:t>
      </w:r>
    </w:p>
    <w:p w14:paraId="3B2281A6" w14:textId="77777777" w:rsidR="003911E6" w:rsidRDefault="003911E6" w:rsidP="003911E6">
      <w:pPr>
        <w:pStyle w:val="Disclaimertext"/>
        <w:spacing w:before="0" w:after="120" w:line="240" w:lineRule="auto"/>
        <w:rPr>
          <w:szCs w:val="16"/>
        </w:rPr>
      </w:pPr>
      <w:r w:rsidRPr="00067C96">
        <w:rPr>
          <w:b/>
          <w:bCs/>
          <w:szCs w:val="16"/>
        </w:rPr>
        <w:t>MSCI index:</w:t>
      </w:r>
      <w:r w:rsidRPr="00067C96">
        <w:rPr>
          <w:szCs w:val="16"/>
        </w:rPr>
        <w:t xml:space="preserve"> </w:t>
      </w:r>
      <w:r w:rsidRPr="008F75F9">
        <w:rPr>
          <w:szCs w:val="16"/>
        </w:rPr>
        <w:t xml:space="preserve">Source: MSCI. The MSCI information may only be used for your internal use, may not be reproduced or </w:t>
      </w:r>
      <w:proofErr w:type="spellStart"/>
      <w:r w:rsidRPr="008F75F9">
        <w:rPr>
          <w:szCs w:val="16"/>
        </w:rPr>
        <w:t>redisseminated</w:t>
      </w:r>
      <w:proofErr w:type="spellEnd"/>
      <w:r w:rsidRPr="008F75F9">
        <w:rPr>
          <w:szCs w:val="16"/>
        </w:rPr>
        <w:t xml:space="preserve"> in any form and may not be used as a basis for or a component of any financial instruments or products or indices. None of the MSCI information is intended to constitute investment advice or a recommendation to make (or refrain from making) any kind of investment decision and may not be relied on as such. Historical data and analysis should not be taken as an indication or guarantee of any future performance analysis, forecast or prediction. The MSCI information is provided on an “as is” basis and the user of this information </w:t>
      </w:r>
      <w:proofErr w:type="gramStart"/>
      <w:r w:rsidRPr="008F75F9">
        <w:rPr>
          <w:szCs w:val="16"/>
        </w:rPr>
        <w:t>assumes</w:t>
      </w:r>
      <w:proofErr w:type="gramEnd"/>
      <w:r w:rsidRPr="008F75F9">
        <w:rPr>
          <w:szCs w:val="16"/>
        </w:rPr>
        <w:t xml:space="preserve"> the entire risk of any use made of this information. MSCI, each of its affiliates and each other person involved in or related to compiling, computing or creating any MSCI information (collectively, the “MSCI Parties”) expressly disclaims all warranties (including, without limitation, any warranties of originality, accuracy, completeness, timeliness, non-infringement, merchantability and fitness for a particular purpose) with respect to this information. Without limiting any of the foregoing, in no event shall any MSCI Party have any liability for any direct, indirect, special, incidental, punitive, consequential (including, without limitation, lost profits) or any other damages. (</w:t>
      </w:r>
      <w:hyperlink r:id="rId10" w:history="1">
        <w:r w:rsidRPr="006A00E3">
          <w:rPr>
            <w:rStyle w:val="Hyperlink"/>
            <w:szCs w:val="16"/>
          </w:rPr>
          <w:t>www.msci.com</w:t>
        </w:r>
      </w:hyperlink>
      <w:r w:rsidRPr="008F75F9">
        <w:rPr>
          <w:szCs w:val="16"/>
        </w:rPr>
        <w:t>).</w:t>
      </w:r>
    </w:p>
    <w:p w14:paraId="35D48995" w14:textId="77777777" w:rsidR="003911E6" w:rsidRPr="00067C96" w:rsidRDefault="003911E6" w:rsidP="003911E6">
      <w:pPr>
        <w:pStyle w:val="BodyText"/>
        <w:rPr>
          <w:sz w:val="16"/>
          <w:szCs w:val="16"/>
        </w:rPr>
      </w:pPr>
      <w:r w:rsidRPr="00067C96">
        <w:rPr>
          <w:b/>
          <w:bCs/>
          <w:sz w:val="16"/>
          <w:szCs w:val="16"/>
        </w:rPr>
        <w:t xml:space="preserve">FTSE index:  </w:t>
      </w:r>
      <w:r w:rsidRPr="00067C96">
        <w:rPr>
          <w:sz w:val="16"/>
          <w:szCs w:val="16"/>
        </w:rPr>
        <w:t xml:space="preserve">LSEG is the administrator of certain indices and benchmarks as detailed at https://www.lseg.com/en/ftse-russell/benchmarks. No other information provided, displayed or contained in any LSEG service is made available for use as a benchmark, whether in relation to a financial instrument, financial contract or to measure the performance of an investment fund, or otherwise in a way that would require the relevant information to be administered by a benchmark administrator pursuant to the Benchmarks Regulation (the “Prohibited Use”). LSEG does not grant rights for you to access or use such information for the Prohibited </w:t>
      </w:r>
      <w:proofErr w:type="gramStart"/>
      <w:r w:rsidRPr="00067C96">
        <w:rPr>
          <w:sz w:val="16"/>
          <w:szCs w:val="16"/>
        </w:rPr>
        <w:t>Use</w:t>
      </w:r>
      <w:proofErr w:type="gramEnd"/>
      <w:r w:rsidRPr="00067C96">
        <w:rPr>
          <w:sz w:val="16"/>
          <w:szCs w:val="16"/>
        </w:rPr>
        <w:t xml:space="preserve"> and you may breach the Benchmarks Regulation and/or any contract with LSEG if you do. </w:t>
      </w:r>
      <w:proofErr w:type="gramStart"/>
      <w:r w:rsidRPr="00067C96">
        <w:rPr>
          <w:sz w:val="16"/>
          <w:szCs w:val="16"/>
        </w:rPr>
        <w:t>In the event that</w:t>
      </w:r>
      <w:proofErr w:type="gramEnd"/>
      <w:r w:rsidRPr="00067C96">
        <w:rPr>
          <w:sz w:val="16"/>
          <w:szCs w:val="16"/>
        </w:rPr>
        <w:t xml:space="preserve"> you identify the Prohibited Use of information by any person, you must promptly notify LSEG and provide such details as we may reasonably request to ensure the cessation of the Prohibited Use, where appropriate. Notwithstanding the foregoing, where you have entered into a direct license with a third-party provider which permits the Prohibited Use with respect to such third party provider’s information, you are solely responsible for compliance with Benchmarks Regulation and LSEG shall have no liability or responsibility for any loss or damages that arise from or in connection with the Prohibited Use. LSEG and its affiliates do not warrant that any information is provided in compliance with the Benchmarks Regulation and accept no liability and have no responsibility for any loss or damages that arise from or in connection with the Prohibited Use of the information. “Benchmarks Regulation” means, in respect of the EEA, EU Regulation 2016/1011, in respect of UK, UK benchmarks regulation and in respect of another country, the equivalent legislation. If you are in any doubt about the meaning of the Prohibited Use or your obligations under the Benchmarks Regulation, you should seek professional advice.</w:t>
      </w:r>
    </w:p>
    <w:p w14:paraId="35AEEF86" w14:textId="77777777" w:rsidR="003911E6" w:rsidRPr="00067C96" w:rsidRDefault="003911E6" w:rsidP="003911E6">
      <w:pPr>
        <w:pStyle w:val="BodyText"/>
        <w:rPr>
          <w:sz w:val="16"/>
          <w:szCs w:val="16"/>
        </w:rPr>
      </w:pPr>
      <w:r w:rsidRPr="00067C96">
        <w:rPr>
          <w:b/>
          <w:bCs/>
          <w:sz w:val="16"/>
          <w:szCs w:val="16"/>
        </w:rPr>
        <w:t>JP Morgan index</w:t>
      </w:r>
      <w:r w:rsidRPr="00067C96">
        <w:rPr>
          <w:sz w:val="16"/>
          <w:szCs w:val="16"/>
        </w:rPr>
        <w:t xml:space="preserve">: Information has been obtained from sources believed to be </w:t>
      </w:r>
      <w:proofErr w:type="gramStart"/>
      <w:r w:rsidRPr="00067C96">
        <w:rPr>
          <w:sz w:val="16"/>
          <w:szCs w:val="16"/>
        </w:rPr>
        <w:t>reliable</w:t>
      </w:r>
      <w:proofErr w:type="gramEnd"/>
      <w:r w:rsidRPr="00067C96">
        <w:rPr>
          <w:sz w:val="16"/>
          <w:szCs w:val="16"/>
        </w:rPr>
        <w:t xml:space="preserve"> but J.P. Morgan does not warrant its completeness or accuracy. The index is used with permission. The index may not be copied, used or distributed without J.P. Morgan's prior written approval. Copyright 2014, J.P. Morgan Chase &amp; Co. All rights reserved.</w:t>
      </w:r>
    </w:p>
    <w:p w14:paraId="1327ABB8" w14:textId="77777777" w:rsidR="003911E6" w:rsidRPr="00067C96" w:rsidRDefault="003911E6" w:rsidP="003911E6">
      <w:pPr>
        <w:pStyle w:val="BodyText"/>
        <w:rPr>
          <w:sz w:val="16"/>
          <w:szCs w:val="16"/>
        </w:rPr>
      </w:pPr>
      <w:r w:rsidRPr="00067C96">
        <w:rPr>
          <w:b/>
          <w:bCs/>
          <w:sz w:val="16"/>
          <w:szCs w:val="16"/>
        </w:rPr>
        <w:t xml:space="preserve">©Morningstar </w:t>
      </w:r>
      <w:r>
        <w:rPr>
          <w:b/>
          <w:bCs/>
          <w:sz w:val="16"/>
          <w:szCs w:val="16"/>
        </w:rPr>
        <w:t>2026</w:t>
      </w:r>
      <w:r w:rsidRPr="00067C96">
        <w:rPr>
          <w:sz w:val="16"/>
          <w:szCs w:val="16"/>
        </w:rPr>
        <w:t>. All Rights Reserved. The information contained herein: (1) is proprietary to Morningstar and/or its content providers; (2) may not be copied or distributed; and (3) is not warranted to be accurate, complete or timely. Neither Morningstar nor its content providers are responsible for any damages or losses arising from any use of this information. Past performance is no guarantee of future results.</w:t>
      </w:r>
    </w:p>
    <w:p w14:paraId="73F3629F" w14:textId="77777777" w:rsidR="003911E6" w:rsidRPr="00067C96" w:rsidRDefault="003911E6" w:rsidP="003911E6">
      <w:pPr>
        <w:pStyle w:val="BodyText"/>
        <w:rPr>
          <w:sz w:val="16"/>
          <w:szCs w:val="16"/>
        </w:rPr>
      </w:pPr>
      <w:r w:rsidRPr="00067C96">
        <w:rPr>
          <w:b/>
          <w:bCs/>
          <w:sz w:val="16"/>
          <w:szCs w:val="16"/>
        </w:rPr>
        <w:t>©</w:t>
      </w:r>
      <w:r>
        <w:rPr>
          <w:b/>
          <w:bCs/>
          <w:sz w:val="16"/>
          <w:szCs w:val="16"/>
        </w:rPr>
        <w:t>2026</w:t>
      </w:r>
      <w:r w:rsidRPr="00067C96">
        <w:rPr>
          <w:b/>
          <w:bCs/>
          <w:sz w:val="16"/>
          <w:szCs w:val="16"/>
        </w:rPr>
        <w:t xml:space="preserve"> Nasdaq, Inc. </w:t>
      </w:r>
      <w:r w:rsidRPr="00067C96">
        <w:rPr>
          <w:sz w:val="16"/>
          <w:szCs w:val="16"/>
        </w:rPr>
        <w:t xml:space="preserve">All Rights Reserved. The information, data, analysis and Information contained herein (i) include the proprietary information of Nasdaq, Inc. and applicable Nasdaq Market, (ii) are subject to applicable Nasdaq Requirements (http://nasdaqtrader.com/Trader.aspx?id=GDP_Ops); (iii) may not be copied or further disseminated except as specifically authorized by Nasdaq, (iv) do not constitute investment advice, (v) are provided solely for informational purposes and (vi) Nasdaq makes no </w:t>
      </w:r>
      <w:r w:rsidRPr="00067C96">
        <w:rPr>
          <w:sz w:val="16"/>
          <w:szCs w:val="16"/>
        </w:rPr>
        <w:lastRenderedPageBreak/>
        <w:t>warranties including that the information is complete, accurate or timely. Nasdaq and Nasdaq Market bear no liability with respect to the data, analysis and Information.</w:t>
      </w:r>
    </w:p>
    <w:p w14:paraId="5B1B511E" w14:textId="77777777" w:rsidR="003911E6" w:rsidRDefault="003911E6" w:rsidP="003911E6">
      <w:pPr>
        <w:pStyle w:val="BodyText"/>
        <w:rPr>
          <w:sz w:val="16"/>
          <w:szCs w:val="16"/>
        </w:rPr>
      </w:pPr>
      <w:r w:rsidRPr="00067C96">
        <w:rPr>
          <w:b/>
          <w:bCs/>
          <w:sz w:val="16"/>
          <w:szCs w:val="16"/>
        </w:rPr>
        <w:t>S&amp;P indices:</w:t>
      </w:r>
      <w:r w:rsidRPr="00067C96">
        <w:rPr>
          <w:sz w:val="16"/>
          <w:szCs w:val="16"/>
        </w:rPr>
        <w:t xml:space="preserve"> The S&amp;P 500 is a product of S&amp;P Dow Jones Indices LLC, its affiliates and/or their third party licensors (“SPDJI”</w:t>
      </w:r>
      <w:proofErr w:type="gramStart"/>
      <w:r w:rsidRPr="00067C96">
        <w:rPr>
          <w:sz w:val="16"/>
          <w:szCs w:val="16"/>
        </w:rPr>
        <w:t>), and</w:t>
      </w:r>
      <w:proofErr w:type="gramEnd"/>
      <w:r w:rsidRPr="00067C96">
        <w:rPr>
          <w:sz w:val="16"/>
          <w:szCs w:val="16"/>
        </w:rPr>
        <w:t xml:space="preserve"> has been licensed for use by Schroders. S&amp;P® is a registered trademark of Standard &amp; Poor’s Financial Services LLC (“S&amp;P”); Dow Jones® is a registered trademark of Dow Jones Trademark Holdings LLC (“Dow Jones”</w:t>
      </w:r>
      <w:proofErr w:type="gramStart"/>
      <w:r w:rsidRPr="00067C96">
        <w:rPr>
          <w:sz w:val="16"/>
          <w:szCs w:val="16"/>
        </w:rPr>
        <w:t>);and</w:t>
      </w:r>
      <w:proofErr w:type="gramEnd"/>
      <w:r w:rsidRPr="00067C96">
        <w:rPr>
          <w:sz w:val="16"/>
          <w:szCs w:val="16"/>
        </w:rPr>
        <w:t xml:space="preserve"> these trademarks have been licensed for use by SPDJI and sublicensed for certain purposes by Schroders. Schroders is not sponsored, endorsed, sold or promoted by SPDJI, Dow Jones, S&amp;P, their respective affiliates or their third party licensors and none of such parties make any representation regarding the advisability of investing in such product(s) nor do they have any liability for any errors, omissions, or interruptions of the S&amp;P 500.</w:t>
      </w:r>
    </w:p>
    <w:p w14:paraId="4203C058" w14:textId="77777777" w:rsidR="00953023" w:rsidRPr="003911E6" w:rsidRDefault="00953023" w:rsidP="00D65237">
      <w:pPr>
        <w:pStyle w:val="BodyText"/>
        <w:spacing w:before="240"/>
        <w:rPr>
          <w:b/>
          <w:bCs/>
          <w:sz w:val="16"/>
          <w:szCs w:val="16"/>
        </w:rPr>
      </w:pPr>
      <w:r w:rsidRPr="003911E6">
        <w:rPr>
          <w:b/>
          <w:bCs/>
          <w:sz w:val="16"/>
          <w:szCs w:val="16"/>
        </w:rPr>
        <w:t xml:space="preserve">Important </w:t>
      </w:r>
      <w:r w:rsidR="001D2095" w:rsidRPr="003911E6">
        <w:rPr>
          <w:b/>
          <w:bCs/>
          <w:sz w:val="16"/>
          <w:szCs w:val="16"/>
        </w:rPr>
        <w:t>I</w:t>
      </w:r>
      <w:r w:rsidRPr="003911E6">
        <w:rPr>
          <w:b/>
          <w:bCs/>
          <w:sz w:val="16"/>
          <w:szCs w:val="16"/>
        </w:rPr>
        <w:t>nformation</w:t>
      </w:r>
    </w:p>
    <w:p w14:paraId="24F6BEA5" w14:textId="77777777" w:rsidR="00A62EF4" w:rsidRPr="0087273E" w:rsidRDefault="00A62EF4" w:rsidP="0087273E">
      <w:pPr>
        <w:pStyle w:val="Disclaimertext"/>
        <w:spacing w:after="120" w:line="240" w:lineRule="auto"/>
        <w:rPr>
          <w:b/>
          <w:bCs/>
        </w:rPr>
      </w:pPr>
      <w:r w:rsidRPr="00E267E0">
        <w:rPr>
          <w:b/>
          <w:bCs/>
        </w:rPr>
        <w:t>For EEA and UK:</w:t>
      </w:r>
      <w:r>
        <w:rPr>
          <w:b/>
          <w:bCs/>
        </w:rPr>
        <w:t xml:space="preserve"> </w:t>
      </w:r>
      <w:r w:rsidRPr="000155C2">
        <w:rPr>
          <w:b/>
          <w:bCs/>
        </w:rPr>
        <w:t>Marketing material for Professional Clients only</w:t>
      </w:r>
      <w:r>
        <w:rPr>
          <w:b/>
          <w:bCs/>
        </w:rPr>
        <w:t>.</w:t>
      </w:r>
    </w:p>
    <w:p w14:paraId="28FC8F24" w14:textId="77777777" w:rsidR="00113154" w:rsidRPr="00113154" w:rsidRDefault="00953023" w:rsidP="007B5A24">
      <w:pPr>
        <w:pStyle w:val="Disclaimertext"/>
        <w:spacing w:before="0" w:after="120" w:line="240" w:lineRule="auto"/>
      </w:pPr>
      <w:r>
        <w:t>Nothing in this document should be construed as advice and is therefore not a recommendation to buy or sell shares. An investment in Schroder International Selection Fund (the "Company") entails risks, which are fully described in the prospectus.</w:t>
      </w:r>
    </w:p>
    <w:p w14:paraId="7C0C31B0" w14:textId="77777777" w:rsidR="00113154" w:rsidRPr="00113154" w:rsidRDefault="00953023" w:rsidP="007B5A24">
      <w:pPr>
        <w:pStyle w:val="Disclaimertext"/>
        <w:spacing w:before="0" w:after="120" w:line="240" w:lineRule="auto"/>
      </w:pPr>
      <w:r>
        <w:t>Subscriptions for shares of the Company can only be made on the basis of its latest Key Information Document (the “KID”) and prospectus, together with the latest audited annual report (and subsequent unaudited semi-annual report, if published), copies of which can be obtained, free of charge, from Schroder Investment Management (Europe) S.A. An investment concerns the acquisition of shares in the Company, and not the underlying assets.</w:t>
      </w:r>
    </w:p>
    <w:p w14:paraId="7ADB366D" w14:textId="77777777" w:rsidR="00EB7D61" w:rsidRPr="00113154" w:rsidRDefault="00EB7D61" w:rsidP="007B5A24">
      <w:pPr>
        <w:pStyle w:val="BodyText"/>
        <w:ind w:right="266"/>
        <w:rPr>
          <w:rFonts w:eastAsia="Times New Roman" w:cs="Arial"/>
          <w:sz w:val="16"/>
          <w:szCs w:val="17"/>
        </w:rPr>
      </w:pPr>
      <w:r w:rsidRPr="00113154">
        <w:rPr>
          <w:rFonts w:eastAsia="Times New Roman" w:cs="Arial"/>
          <w:sz w:val="16"/>
          <w:szCs w:val="17"/>
        </w:rPr>
        <w:t xml:space="preserve">The Company is a Luxembourg-based Société </w:t>
      </w:r>
      <w:proofErr w:type="spellStart"/>
      <w:r w:rsidRPr="00113154">
        <w:rPr>
          <w:rFonts w:eastAsia="Times New Roman" w:cs="Arial"/>
          <w:sz w:val="16"/>
          <w:szCs w:val="17"/>
        </w:rPr>
        <w:t>d'Investissement</w:t>
      </w:r>
      <w:proofErr w:type="spellEnd"/>
      <w:r w:rsidRPr="00113154">
        <w:rPr>
          <w:rFonts w:eastAsia="Times New Roman" w:cs="Arial"/>
          <w:sz w:val="16"/>
          <w:szCs w:val="17"/>
        </w:rPr>
        <w:t xml:space="preserve"> à Capital Variable (SICAV), established for an unlimited period and coordinated </w:t>
      </w:r>
      <w:proofErr w:type="gramStart"/>
      <w:r w:rsidRPr="00113154">
        <w:rPr>
          <w:rFonts w:eastAsia="Times New Roman" w:cs="Arial"/>
          <w:sz w:val="16"/>
          <w:szCs w:val="17"/>
        </w:rPr>
        <w:t>with regard to</w:t>
      </w:r>
      <w:proofErr w:type="gramEnd"/>
      <w:r w:rsidRPr="00113154">
        <w:rPr>
          <w:rFonts w:eastAsia="Times New Roman" w:cs="Arial"/>
          <w:sz w:val="16"/>
          <w:szCs w:val="17"/>
        </w:rPr>
        <w:t xml:space="preserve"> the European regulations and meets the criteria for Undertakings for Collective Investment in Transferable Securities (UCITS).</w:t>
      </w:r>
    </w:p>
    <w:p w14:paraId="46C3FFCA" w14:textId="77777777" w:rsidR="00EB7D61" w:rsidRPr="00EB7D61" w:rsidRDefault="00EB7D61" w:rsidP="007B5A24">
      <w:pPr>
        <w:pStyle w:val="BodyText"/>
        <w:ind w:right="266"/>
        <w:rPr>
          <w:rFonts w:eastAsia="Times New Roman" w:cs="Arial"/>
          <w:sz w:val="16"/>
          <w:szCs w:val="17"/>
        </w:rPr>
      </w:pPr>
      <w:r w:rsidRPr="00113154">
        <w:rPr>
          <w:rFonts w:eastAsia="Times New Roman" w:cs="Arial"/>
          <w:sz w:val="16"/>
          <w:szCs w:val="17"/>
        </w:rPr>
        <w:t xml:space="preserve">The KIIDs are available in Bulgarian, Czech, Danish, Dutch, English, French, Finnish, German, Greek, Hungarian, Icelandic, Latvian, Lithuanian, Norwegian, Polish, Portuguese, Romanian, Slovakian, Spanish and Swedish, and the prospectus are available in English, Flemish, French, German, Spanish, free of charge at www.eifs.lu/schroders. The availability of KIIDs in the </w:t>
      </w:r>
      <w:proofErr w:type="gramStart"/>
      <w:r w:rsidRPr="00113154">
        <w:rPr>
          <w:rFonts w:eastAsia="Times New Roman" w:cs="Arial"/>
          <w:sz w:val="16"/>
          <w:szCs w:val="17"/>
        </w:rPr>
        <w:t>aforementioned languages</w:t>
      </w:r>
      <w:proofErr w:type="gramEnd"/>
      <w:r w:rsidRPr="00113154">
        <w:rPr>
          <w:rFonts w:eastAsia="Times New Roman" w:cs="Arial"/>
          <w:sz w:val="16"/>
          <w:szCs w:val="17"/>
        </w:rPr>
        <w:t xml:space="preserve"> is subject to the registration of the fund in the respective jurisdiction.</w:t>
      </w:r>
    </w:p>
    <w:p w14:paraId="6838BC86" w14:textId="77777777" w:rsidR="00A5681A" w:rsidRPr="00A5681A" w:rsidRDefault="00A5681A" w:rsidP="007B5A24">
      <w:pPr>
        <w:pStyle w:val="BodyText"/>
        <w:ind w:right="266"/>
        <w:rPr>
          <w:sz w:val="16"/>
          <w:szCs w:val="16"/>
        </w:rPr>
      </w:pPr>
      <w:r w:rsidRPr="00953023">
        <w:rPr>
          <w:b/>
          <w:sz w:val="16"/>
          <w:szCs w:val="16"/>
        </w:rPr>
        <w:t xml:space="preserve">For Middle East, </w:t>
      </w:r>
      <w:proofErr w:type="gramStart"/>
      <w:r w:rsidRPr="00953023">
        <w:rPr>
          <w:bCs/>
          <w:sz w:val="16"/>
          <w:szCs w:val="16"/>
        </w:rPr>
        <w:t>This</w:t>
      </w:r>
      <w:proofErr w:type="gramEnd"/>
      <w:r w:rsidRPr="00953023">
        <w:rPr>
          <w:bCs/>
          <w:sz w:val="16"/>
          <w:szCs w:val="16"/>
        </w:rPr>
        <w:t xml:space="preserve"> document is intended only for professional investors who may receive it in compliance with applicable laws and regulations. This document is not intended for any professional investors in any jurisdiction where it is not permitted in accordance with applicable laws or regulations. Professional investors are as defined by laws and regulations applicable in each jurisdiction and may be defined as sophisticated investors. This document is not intended to be a financial promotion. Distributed by Schroder Investment Management Limited, located in Office 506, Level 5, Precinct Building 5, Dubai International Financial Centre, PO Box 506612 Dubai, United Arab Emirates. Regulated by the Dubai Financial Services Authority. This document is not subject to any form of approval by the DFSA. Accordingly, the DFSA has not approved any associated documents nor taken any steps to verify the information and has no responsibility for it.</w:t>
      </w:r>
    </w:p>
    <w:p w14:paraId="63A56035" w14:textId="77777777" w:rsidR="00AE2251" w:rsidRPr="00953023" w:rsidRDefault="00B73084" w:rsidP="007B5A24">
      <w:pPr>
        <w:pStyle w:val="BodyText"/>
        <w:ind w:right="266"/>
        <w:rPr>
          <w:sz w:val="16"/>
          <w:szCs w:val="16"/>
        </w:rPr>
      </w:pPr>
      <w:r w:rsidRPr="00953023">
        <w:rPr>
          <w:b/>
          <w:sz w:val="16"/>
          <w:szCs w:val="16"/>
        </w:rPr>
        <w:t xml:space="preserve">Notice to investors in United Arab Emirates, </w:t>
      </w:r>
      <w:proofErr w:type="gramStart"/>
      <w:r w:rsidRPr="00953023">
        <w:rPr>
          <w:bCs/>
          <w:sz w:val="16"/>
          <w:szCs w:val="16"/>
        </w:rPr>
        <w:t>This</w:t>
      </w:r>
      <w:proofErr w:type="gramEnd"/>
      <w:r w:rsidRPr="00953023">
        <w:rPr>
          <w:bCs/>
          <w:sz w:val="16"/>
          <w:szCs w:val="16"/>
        </w:rPr>
        <w:t xml:space="preserve"> document, and the information contained herein, does not constitute, and is not intended to constitute, a public offer of securities to the retail investors in the UAE and accordingly should not be construed as such. No regulatory authority in the UAE has any responsibility for reviewing or verifying this prospectus or any other documents in connection with the promotion of this fund. Accordingly, no regulatory authority in the UAE has approved the prospectus or any other associated documents, nor taken any steps to verify the information set out herein, and therefore no regulatory authority in the UAE has any responsibility for the same. The interests in the fund(s) (“Interests”) mentioned in the document may be illiquid and/or subject to restrictions on their resale. Prospective purchasers should conduct their own due diligence on the Interests. Anyone not understanding the contents of this document should consult an authorised financial adviser. Distributed by Schroder Investment Management Limited (Dubai Branch), located on Level 5, Office 506, Precinct Building 5, Dubai International Financial Centre, PO Box 506612, Dubai, United Arab Emirates and regulated by the Dubai Financial Services Authority (DFSA) and entered on the DFSA register under Firm Reference Number: F000513. This document is not subject to any form of regulation or approval by the DFSA. The DFSA has no responsibility for reviewing or verifying any document in connection with the contents.</w:t>
      </w:r>
    </w:p>
    <w:p w14:paraId="5A68B0F0" w14:textId="77777777" w:rsidR="00AE2251" w:rsidRPr="00953023" w:rsidRDefault="00B73084" w:rsidP="007B5A24">
      <w:pPr>
        <w:pStyle w:val="BodyText"/>
        <w:ind w:right="266"/>
        <w:rPr>
          <w:sz w:val="16"/>
          <w:szCs w:val="16"/>
        </w:rPr>
      </w:pPr>
      <w:r w:rsidRPr="00953023">
        <w:rPr>
          <w:b/>
          <w:sz w:val="16"/>
          <w:szCs w:val="16"/>
        </w:rPr>
        <w:t xml:space="preserve">Notice to investors in Switzerland, </w:t>
      </w:r>
      <w:r w:rsidRPr="00953023">
        <w:rPr>
          <w:bCs/>
          <w:sz w:val="16"/>
          <w:szCs w:val="16"/>
        </w:rPr>
        <w:t>Marketing material for Qualified Investors and Professional Clients Only. Schroder Investment Management (Switzerland) AG is the Swiss representative (Swiss Representative) and Schroder &amp; Co Bank AG is the paying agent in Switzerland of the Luxembourg domiciled Schroder International Selection Fund. The prospectus for Switzerland, the key information documents, the articles of association and the annual and semi-annual reports may be obtained free of charge from the Swiss Representative.</w:t>
      </w:r>
    </w:p>
    <w:p w14:paraId="7D58BF4D" w14:textId="77777777" w:rsidR="00AE2251" w:rsidRPr="00953023" w:rsidRDefault="00B73084" w:rsidP="007B5A24">
      <w:pPr>
        <w:pStyle w:val="BodyText"/>
        <w:ind w:right="266"/>
        <w:rPr>
          <w:sz w:val="16"/>
          <w:szCs w:val="16"/>
        </w:rPr>
      </w:pPr>
      <w:r w:rsidRPr="00953023">
        <w:rPr>
          <w:b/>
          <w:sz w:val="16"/>
          <w:szCs w:val="16"/>
        </w:rPr>
        <w:t xml:space="preserve">Notice to investors in Spain, </w:t>
      </w:r>
      <w:r w:rsidRPr="00953023">
        <w:rPr>
          <w:bCs/>
          <w:sz w:val="16"/>
          <w:szCs w:val="16"/>
        </w:rPr>
        <w:t xml:space="preserve">The Company is registered in the Administrative Register of Foreign Collective Investment Institutions marketed in Spain of the National Securities Market Commission (CNMV), with the number 135. Its depository is J.P. Morgan </w:t>
      </w:r>
      <w:proofErr w:type="gramStart"/>
      <w:r w:rsidRPr="00953023">
        <w:rPr>
          <w:bCs/>
          <w:sz w:val="16"/>
          <w:szCs w:val="16"/>
        </w:rPr>
        <w:t>SE</w:t>
      </w:r>
      <w:proofErr w:type="gramEnd"/>
      <w:r w:rsidRPr="00953023">
        <w:rPr>
          <w:bCs/>
          <w:sz w:val="16"/>
          <w:szCs w:val="16"/>
        </w:rPr>
        <w:t xml:space="preserve"> and its management company is Schroder Investment Management (Europe) </w:t>
      </w:r>
      <w:proofErr w:type="gramStart"/>
      <w:r w:rsidRPr="00953023">
        <w:rPr>
          <w:bCs/>
          <w:sz w:val="16"/>
          <w:szCs w:val="16"/>
        </w:rPr>
        <w:t>S.A..</w:t>
      </w:r>
      <w:proofErr w:type="gramEnd"/>
      <w:r w:rsidRPr="00953023">
        <w:rPr>
          <w:bCs/>
          <w:sz w:val="16"/>
          <w:szCs w:val="16"/>
        </w:rPr>
        <w:t xml:space="preserve"> The Company is a UCITS registered in Luxembourg.</w:t>
      </w:r>
    </w:p>
    <w:p w14:paraId="50AFDE30" w14:textId="77777777" w:rsidR="00AE2251" w:rsidRPr="00953023" w:rsidRDefault="00B73084" w:rsidP="007B5A24">
      <w:pPr>
        <w:pStyle w:val="BodyText"/>
        <w:ind w:right="266"/>
        <w:rPr>
          <w:sz w:val="16"/>
          <w:szCs w:val="16"/>
        </w:rPr>
      </w:pPr>
      <w:r w:rsidRPr="00953023">
        <w:rPr>
          <w:b/>
          <w:sz w:val="16"/>
          <w:szCs w:val="16"/>
        </w:rPr>
        <w:t xml:space="preserve">Notice to investors in the UK, </w:t>
      </w:r>
      <w:proofErr w:type="gramStart"/>
      <w:r w:rsidRPr="00953023">
        <w:rPr>
          <w:bCs/>
          <w:sz w:val="16"/>
          <w:szCs w:val="16"/>
        </w:rPr>
        <w:t>The</w:t>
      </w:r>
      <w:proofErr w:type="gramEnd"/>
      <w:r w:rsidRPr="00953023">
        <w:rPr>
          <w:bCs/>
          <w:sz w:val="16"/>
          <w:szCs w:val="16"/>
        </w:rPr>
        <w:t xml:space="preserve"> prospectus and KIIDs are available in English at https://www.schroders.com/en-gb/uk/individual/fund-centre/. This product is based overseas and is not subject to UK sustainable investment labelling and disclosure requirements. The fund is authorised overseas and recognised in the UK under the Overseas Fund Regime. The UK Financial Ombudsman Service is unlikely to be able to consider complaints relating to this fund, its operator, or its depositary. Any claims for losses relating to the operator or depositary of the fund are unlikely to be covered by the UK Financial Services Compensation Scheme. Prospective investors should consider seeking independent financial advice and review the fund prospectus before making an investment decision.</w:t>
      </w:r>
    </w:p>
    <w:p w14:paraId="05EBC2F7" w14:textId="77777777" w:rsidR="00AE2251" w:rsidRPr="00953023" w:rsidRDefault="00B73084" w:rsidP="007B5A24">
      <w:pPr>
        <w:pStyle w:val="BodyText"/>
        <w:ind w:right="266"/>
        <w:rPr>
          <w:sz w:val="16"/>
          <w:szCs w:val="16"/>
        </w:rPr>
      </w:pPr>
      <w:r w:rsidRPr="00953023">
        <w:rPr>
          <w:b/>
          <w:sz w:val="16"/>
          <w:szCs w:val="16"/>
        </w:rPr>
        <w:lastRenderedPageBreak/>
        <w:t xml:space="preserve">Notice to investors in Italy, </w:t>
      </w:r>
      <w:proofErr w:type="gramStart"/>
      <w:r w:rsidRPr="00953023">
        <w:rPr>
          <w:bCs/>
          <w:sz w:val="16"/>
          <w:szCs w:val="16"/>
        </w:rPr>
        <w:t>The</w:t>
      </w:r>
      <w:proofErr w:type="gramEnd"/>
      <w:r w:rsidRPr="00953023">
        <w:rPr>
          <w:bCs/>
          <w:sz w:val="16"/>
          <w:szCs w:val="16"/>
        </w:rPr>
        <w:t xml:space="preserve"> prospectus and KIIDs are available in Italian, free of charge, from Schroder Investment Management (Europe) S.A., Via Manzoni 5, 20121 Milan and from our distributors.</w:t>
      </w:r>
    </w:p>
    <w:p w14:paraId="40A323F2" w14:textId="77777777" w:rsidR="00194907" w:rsidRPr="00A23F93" w:rsidRDefault="00310EDC" w:rsidP="007B5A24">
      <w:pPr>
        <w:pStyle w:val="Disclaimertext"/>
        <w:spacing w:before="0" w:after="120" w:line="240" w:lineRule="auto"/>
      </w:pPr>
      <w:r>
        <w:t>The fund has environmental and/or social characteristics within the meaning of Article 8 of Regulation (EU) 2019/2088 on Sustainability-related Disclosures in the Financial Services Sector (the “SFDR”). For information on sustainability-related aspects of this fund please go to https://www.schroders.com/en/global/individual/all-eu-sites/</w:t>
      </w:r>
    </w:p>
    <w:p w14:paraId="4DA6C6D1" w14:textId="77777777" w:rsidR="00194907" w:rsidRPr="00A23F93" w:rsidRDefault="00310EDC" w:rsidP="007B5A24">
      <w:pPr>
        <w:pStyle w:val="Disclaimertext"/>
        <w:spacing w:before="0" w:after="120" w:line="240" w:lineRule="auto"/>
      </w:pPr>
      <w:r>
        <w:t>Any reference to regions/ countries/ sectors/ stocks/ securities is for illustrative purposes only and not a recommendation to buy or sell any financial instruments or adopt a specific investment strategy.</w:t>
      </w:r>
    </w:p>
    <w:p w14:paraId="122619D8" w14:textId="77777777" w:rsidR="00194907" w:rsidRPr="00A23F93" w:rsidRDefault="00310EDC" w:rsidP="007B5A24">
      <w:pPr>
        <w:pStyle w:val="Disclaimertext"/>
        <w:spacing w:before="0" w:after="120" w:line="240" w:lineRule="auto"/>
      </w:pPr>
      <w:r>
        <w:t xml:space="preserve">Schroders may decide to cease the distribution of any fund(s) in any EEA country at any </w:t>
      </w:r>
      <w:proofErr w:type="gramStart"/>
      <w:r>
        <w:t>time</w:t>
      </w:r>
      <w:proofErr w:type="gramEnd"/>
      <w:r>
        <w:t xml:space="preserve"> but we will publish our intention to do so on our website, in line with applicable regulatory requirements.</w:t>
      </w:r>
    </w:p>
    <w:p w14:paraId="5ABA25BF" w14:textId="77777777" w:rsidR="00970DD6" w:rsidRDefault="00C83FDE" w:rsidP="007B5A24">
      <w:pPr>
        <w:pStyle w:val="Disclaimertext"/>
        <w:tabs>
          <w:tab w:val="left" w:pos="4080"/>
        </w:tabs>
        <w:spacing w:before="0" w:after="120" w:line="240" w:lineRule="auto"/>
      </w:pPr>
      <w:r w:rsidRPr="00970DD6">
        <w:rPr>
          <w:b/>
          <w:bCs/>
        </w:rPr>
        <w:t>Past Performance is not a guide to future performance and may not be repeated. The value of investments and the income from them may go down as well as up and investors may not get back the amounts originally invested. Exchange rate changes may cause the value of investments to fall as well as rise.</w:t>
      </w:r>
      <w:r>
        <w:tab/>
      </w:r>
    </w:p>
    <w:p w14:paraId="3246E5A8" w14:textId="77777777" w:rsidR="00C83FDE" w:rsidRDefault="00C83FDE" w:rsidP="007B5A24">
      <w:pPr>
        <w:pStyle w:val="Disclaimertext"/>
        <w:spacing w:before="0" w:after="120" w:line="240" w:lineRule="auto"/>
        <w:rPr>
          <w:rFonts w:eastAsiaTheme="minorHAnsi" w:cstheme="minorBidi"/>
          <w:sz w:val="19"/>
          <w:szCs w:val="22"/>
        </w:rPr>
      </w:pPr>
      <w:r>
        <w:t xml:space="preserve">Performance data does not </w:t>
      </w:r>
      <w:proofErr w:type="gramStart"/>
      <w:r>
        <w:t>take into account</w:t>
      </w:r>
      <w:proofErr w:type="gramEnd"/>
      <w:r>
        <w:t xml:space="preserve"> any commissions and costs, if any, charged when units or shares of any fund, as applicable, are issued and redeemed.</w:t>
      </w:r>
    </w:p>
    <w:p w14:paraId="64E52CA1" w14:textId="77777777" w:rsidR="00970DD6" w:rsidRDefault="00970DD6" w:rsidP="007B5A24">
      <w:pPr>
        <w:pStyle w:val="Disclaimertext"/>
        <w:spacing w:before="0" w:after="120" w:line="240" w:lineRule="auto"/>
      </w:pPr>
      <w:r>
        <w:t xml:space="preserve">Schroders has expressed its own views and opinions in this </w:t>
      </w:r>
      <w:proofErr w:type="gramStart"/>
      <w:r>
        <w:t>document</w:t>
      </w:r>
      <w:proofErr w:type="gramEnd"/>
      <w:r>
        <w:t xml:space="preserve"> and these may change.</w:t>
      </w:r>
    </w:p>
    <w:p w14:paraId="46EE0B15" w14:textId="77777777" w:rsidR="00970DD6" w:rsidRDefault="00970DD6" w:rsidP="007B5A24">
      <w:pPr>
        <w:pStyle w:val="Disclaimertext"/>
        <w:spacing w:before="0" w:after="120" w:line="240" w:lineRule="auto"/>
      </w:pPr>
      <w:r>
        <w:t>The information contained herein is believed to be reliable. Where third-party data is referenced, it remains subject to the rights of the respective provider and must not be reproduced or used without prior consent.</w:t>
      </w:r>
    </w:p>
    <w:p w14:paraId="352C025D" w14:textId="77777777" w:rsidR="00970DD6" w:rsidRDefault="00970DD6" w:rsidP="007B5A24">
      <w:pPr>
        <w:pStyle w:val="Disclaimertext"/>
        <w:spacing w:before="0" w:after="120" w:line="240" w:lineRule="auto"/>
      </w:pPr>
      <w:r>
        <w:t>This material may contain "forward-looking" information, such as forecasts or projections. Any forecasts stated in this material are not guaranteed and are provided for information purposes only.</w:t>
      </w:r>
    </w:p>
    <w:p w14:paraId="74638C8A" w14:textId="77777777" w:rsidR="00970DD6" w:rsidRDefault="00970DD6" w:rsidP="007B5A24">
      <w:pPr>
        <w:pStyle w:val="Disclaimertext"/>
        <w:spacing w:before="0" w:after="120" w:line="240" w:lineRule="auto"/>
      </w:pPr>
      <w:r>
        <w:t>Communications with Schroder’s representatives may be recorded for regulatory and monitoring purposes. Schroders will be a data controller in respect of your personal data. For information on how Schroders might process your personal data, please view our Privacy Policy available at https://www.schroders.com/en/global/individual/footer/privacy-statement/ or on request should you not have access to this webpage.</w:t>
      </w:r>
    </w:p>
    <w:p w14:paraId="2A137369" w14:textId="77777777" w:rsidR="00970DD6" w:rsidRDefault="00970DD6" w:rsidP="007B5A24">
      <w:pPr>
        <w:pStyle w:val="Disclaimertext"/>
        <w:spacing w:before="0" w:after="120" w:line="240" w:lineRule="auto"/>
      </w:pPr>
      <w:r>
        <w:t>A summary of investor rights may be obtained in Bulgarian, Czech, Dutch, English, French, German, Greek, Hungarian, Italian, Polish, Portuguese, Slovakian, Spanish and Swedish from https://www.schroders.com/en/global/individual/summary-of-investor-rights/</w:t>
      </w:r>
    </w:p>
    <w:p w14:paraId="473F3E90" w14:textId="77777777" w:rsidR="00970DD6" w:rsidRDefault="00970DD6" w:rsidP="007B5A24">
      <w:pPr>
        <w:pStyle w:val="Disclaimertext"/>
        <w:spacing w:before="0" w:after="120" w:line="240" w:lineRule="auto"/>
      </w:pPr>
      <w:r>
        <w:t>Any third party data including MSCI data is owned or licensed by the data provider and may not be reproduced or extracted and used for any other purpose without the data provider's consent. Third party data is provided without any warranties of any kind. The data provider and issuer of the document shall have no liability in connection with the third party data. The terms of the third party’s specific disclaimers, if any, are set forth in the Important Information section at www.schroders.com.</w:t>
      </w:r>
    </w:p>
    <w:p w14:paraId="604FF5B9" w14:textId="77777777" w:rsidR="00970DD6" w:rsidRDefault="00970DD6" w:rsidP="007B5A24">
      <w:pPr>
        <w:pStyle w:val="Disclaimertext"/>
        <w:spacing w:before="0" w:after="120" w:line="240" w:lineRule="auto"/>
      </w:pPr>
      <w:r>
        <w:t>For your security, communications may be recorded or monitored.</w:t>
      </w:r>
    </w:p>
    <w:p w14:paraId="7692AB1F" w14:textId="77777777" w:rsidR="00970DD6" w:rsidRDefault="00970DD6" w:rsidP="007B5A24">
      <w:pPr>
        <w:pStyle w:val="Disclaimertext"/>
        <w:spacing w:before="0" w:after="120" w:line="240" w:lineRule="auto"/>
      </w:pPr>
      <w:r>
        <w:t xml:space="preserve">Issued by Schroder Investment Management (Europe) S.A., 5 </w:t>
      </w:r>
      <w:proofErr w:type="spellStart"/>
      <w:r>
        <w:t>Heienhaff</w:t>
      </w:r>
      <w:proofErr w:type="spellEnd"/>
      <w:r>
        <w:t xml:space="preserve">, L-1736 </w:t>
      </w:r>
      <w:proofErr w:type="spellStart"/>
      <w:r>
        <w:t>Senningerberg</w:t>
      </w:r>
      <w:proofErr w:type="spellEnd"/>
      <w:r>
        <w:t xml:space="preserve">, Luxembourg. Registration No B 37.799. </w:t>
      </w:r>
    </w:p>
    <w:p w14:paraId="73BBBA32" w14:textId="77777777" w:rsidR="00194907" w:rsidRDefault="00DB6B18" w:rsidP="007B5A24">
      <w:pPr>
        <w:pStyle w:val="Disclaimertext"/>
        <w:spacing w:before="0" w:after="120" w:line="240" w:lineRule="auto"/>
      </w:pPr>
      <w:r>
        <w:t xml:space="preserve">Distributed in Switzerland by Schroder Investment Management (Switzerland) AG, </w:t>
      </w:r>
      <w:proofErr w:type="spellStart"/>
      <w:r>
        <w:t>Talstrasse</w:t>
      </w:r>
      <w:proofErr w:type="spellEnd"/>
      <w:r>
        <w:t xml:space="preserve"> 11, CH-8001 Zurich, Switzerland, a fund management company authorised and supervised by the Swiss Financial Market Supervisory Authority FINMA, </w:t>
      </w:r>
      <w:proofErr w:type="spellStart"/>
      <w:r>
        <w:t>Laupenstrasse</w:t>
      </w:r>
      <w:proofErr w:type="spellEnd"/>
      <w:r>
        <w:t xml:space="preserve"> 27, CH-3003 Bern.</w:t>
      </w:r>
    </w:p>
    <w:p w14:paraId="03E30CC6" w14:textId="77777777" w:rsidR="00194907" w:rsidRDefault="00DB6B18" w:rsidP="007B5A24">
      <w:pPr>
        <w:pStyle w:val="Disclaimertext"/>
        <w:spacing w:before="0" w:after="120" w:line="240" w:lineRule="auto"/>
      </w:pPr>
      <w:r>
        <w:t>Distributed in Spain by Schroder Investment Management (Europe) S.A., Spanish branch, a foreign management company, registered in the EEA investment firm register with the National Market Commission of Securities (CNMV) with the number 20.</w:t>
      </w:r>
    </w:p>
    <w:p w14:paraId="386DBE1B" w14:textId="77777777" w:rsidR="00194907" w:rsidRDefault="00DB6B18" w:rsidP="007B5A24">
      <w:pPr>
        <w:pStyle w:val="Disclaimertext"/>
        <w:spacing w:before="0" w:after="120" w:line="240" w:lineRule="auto"/>
      </w:pPr>
      <w:r>
        <w:t>Distributed in the UK by Schroder Investment Management Ltd, 1 London Wall Place, London EC2Y 5AU. Registration No 1893220 England. Authorised and regulated by the Financial Conduct Authority.</w:t>
      </w:r>
    </w:p>
    <w:p w14:paraId="6522D1CC" w14:textId="77777777" w:rsidR="00194907" w:rsidRDefault="00DB6B18" w:rsidP="007B5A24">
      <w:pPr>
        <w:pStyle w:val="Disclaimertext"/>
        <w:spacing w:before="0" w:after="120" w:line="240" w:lineRule="auto"/>
      </w:pPr>
      <w:r>
        <w:t>Distributed in Portugal by Schroder Investment Management (Europe), S.A., registered with the Portuguese Securities Market Commission (CMVM) under the Freedom to Provide Services and with a branch in Spain, registered with the National Securities Market Commission (CNMV) of Investment Services Companies of the European Economic Area with a branch in Spain under number 20.</w:t>
      </w:r>
      <w:bookmarkEnd w:id="0"/>
      <w:bookmarkEnd w:id="1"/>
    </w:p>
    <w:sectPr w:rsidR="00194907" w:rsidSect="007943EA">
      <w:footerReference w:type="default" r:id="rId11"/>
      <w:footerReference w:type="first" r:id="rId12"/>
      <w:pgSz w:w="11906" w:h="16838" w:code="9"/>
      <w:pgMar w:top="851" w:right="851" w:bottom="624" w:left="85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FA26F" w14:textId="77777777" w:rsidR="00A62EF4" w:rsidRPr="00A23F93" w:rsidRDefault="00A62EF4" w:rsidP="00EC4E49">
      <w:r w:rsidRPr="00A23F93">
        <w:separator/>
      </w:r>
    </w:p>
    <w:p w14:paraId="79D75CD4" w14:textId="77777777" w:rsidR="00A62EF4" w:rsidRPr="00A23F93" w:rsidRDefault="00A62EF4"/>
    <w:p w14:paraId="56112F6B" w14:textId="77777777" w:rsidR="00A62EF4" w:rsidRPr="00A23F93" w:rsidRDefault="00A62EF4"/>
    <w:p w14:paraId="6C550631" w14:textId="77777777" w:rsidR="00A62EF4" w:rsidRPr="00A23F93" w:rsidRDefault="00A62EF4"/>
    <w:p w14:paraId="14DB7C57" w14:textId="77777777" w:rsidR="00A62EF4" w:rsidRPr="00A23F93" w:rsidRDefault="00A62EF4"/>
    <w:p w14:paraId="433DD6DE" w14:textId="77777777" w:rsidR="00A62EF4" w:rsidRPr="00A23F93" w:rsidRDefault="00A62EF4"/>
  </w:endnote>
  <w:endnote w:type="continuationSeparator" w:id="0">
    <w:p w14:paraId="71130B3E" w14:textId="77777777" w:rsidR="00A62EF4" w:rsidRPr="00A23F93" w:rsidRDefault="00A62EF4" w:rsidP="00EC4E49">
      <w:r w:rsidRPr="00A23F93">
        <w:continuationSeparator/>
      </w:r>
    </w:p>
    <w:p w14:paraId="02A33653" w14:textId="77777777" w:rsidR="00A62EF4" w:rsidRPr="00A23F93" w:rsidRDefault="00A62EF4"/>
    <w:p w14:paraId="4A67B7BD" w14:textId="77777777" w:rsidR="00A62EF4" w:rsidRPr="00A23F93" w:rsidRDefault="00A62EF4"/>
    <w:p w14:paraId="0800A03D" w14:textId="77777777" w:rsidR="00A62EF4" w:rsidRPr="00A23F93" w:rsidRDefault="00A62EF4"/>
    <w:p w14:paraId="1B0FEEB9" w14:textId="77777777" w:rsidR="00A62EF4" w:rsidRPr="00A23F93" w:rsidRDefault="00A62EF4"/>
    <w:p w14:paraId="4D45E947" w14:textId="77777777" w:rsidR="00A62EF4" w:rsidRPr="00A23F93" w:rsidRDefault="00A62EF4"/>
  </w:endnote>
  <w:endnote w:type="continuationNotice" w:id="1">
    <w:p w14:paraId="0DD421A8" w14:textId="77777777" w:rsidR="00A62EF4" w:rsidRPr="00A23F93" w:rsidRDefault="00A62E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00000000"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roders Circular TT">
    <w:panose1 w:val="020B0804020101010102"/>
    <w:charset w:val="00"/>
    <w:family w:val="swiss"/>
    <w:pitch w:val="variable"/>
    <w:sig w:usb0="A00000BF" w:usb1="5000E47B" w:usb2="00000008" w:usb3="00000000" w:csb0="00000093" w:csb1="00000000"/>
  </w:font>
  <w:font w:name="SimHei">
    <w:panose1 w:val="02010600030101010101"/>
    <w:charset w:val="86"/>
    <w:family w:val="modern"/>
    <w:pitch w:val="fixed"/>
    <w:sig w:usb0="800002BF" w:usb1="38CF7CFA" w:usb2="00000016" w:usb3="00000000" w:csb0="00040001" w:csb1="00000000"/>
  </w:font>
  <w:font w:name="Schroders Circular TT Black">
    <w:panose1 w:val="020B0A04020101010102"/>
    <w:charset w:val="00"/>
    <w:family w:val="swiss"/>
    <w:pitch w:val="variable"/>
    <w:sig w:usb0="A00000BF" w:usb1="5000E47B" w:usb2="00000008" w:usb3="00000000" w:csb0="00000093"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A03F2" w14:textId="77777777" w:rsidR="00626DB0" w:rsidRPr="00A23F93" w:rsidRDefault="00626DB0" w:rsidP="007943EA">
    <w:pPr>
      <w:spacing w:line="200" w:lineRule="exact"/>
      <w:ind w:firstLine="720"/>
      <w:rPr>
        <w:rFonts w:ascii="Noto Sans" w:hAnsi="Noto Sans"/>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65"/>
      <w:gridCol w:w="5262"/>
      <w:gridCol w:w="377"/>
    </w:tblGrid>
    <w:tr w:rsidR="00626DB0" w:rsidRPr="00A23F93" w14:paraId="295DCE48" w14:textId="77777777" w:rsidTr="00F13ACE">
      <w:trPr>
        <w:trHeight w:hRule="exact" w:val="340"/>
      </w:trPr>
      <w:tc>
        <w:tcPr>
          <w:tcW w:w="4438" w:type="dxa"/>
          <w:vAlign w:val="center"/>
        </w:tcPr>
        <w:p w14:paraId="76761E46" w14:textId="77777777" w:rsidR="00626DB0" w:rsidRPr="00A23F93" w:rsidRDefault="00626DB0" w:rsidP="005F7F3D">
          <w:pPr>
            <w:pStyle w:val="BodyText"/>
            <w:rPr>
              <w:szCs w:val="16"/>
            </w:rPr>
          </w:pPr>
        </w:p>
      </w:tc>
      <w:tc>
        <w:tcPr>
          <w:tcW w:w="5117" w:type="dxa"/>
          <w:vAlign w:val="center"/>
        </w:tcPr>
        <w:p w14:paraId="2C744896" w14:textId="3DDDA1B6" w:rsidR="00626DB0" w:rsidRPr="00A23F93" w:rsidRDefault="007C6C31" w:rsidP="002C423C">
          <w:pPr>
            <w:pStyle w:val="Prussiannavyfootertextright"/>
          </w:pPr>
          <w:r>
            <w:t xml:space="preserve">Schroder ISF* </w:t>
          </w:r>
          <w:r w:rsidR="005A0430">
            <w:t>EURO</w:t>
          </w:r>
          <w:r>
            <w:t xml:space="preserve"> Credit Conviction Short Duration</w:t>
          </w:r>
        </w:p>
      </w:tc>
      <w:tc>
        <w:tcPr>
          <w:tcW w:w="367" w:type="dxa"/>
          <w:vAlign w:val="center"/>
        </w:tcPr>
        <w:p w14:paraId="04115E5D" w14:textId="77777777" w:rsidR="00626DB0" w:rsidRPr="00A23F93" w:rsidRDefault="00626DB0" w:rsidP="0095184E">
          <w:pPr>
            <w:pStyle w:val="PageNumber1"/>
          </w:pPr>
          <w:r w:rsidRPr="00A23F93">
            <w:rPr>
              <w:rStyle w:val="PageNumber"/>
              <w:b/>
            </w:rPr>
            <w:fldChar w:fldCharType="begin"/>
          </w:r>
          <w:r w:rsidRPr="00A23F93">
            <w:rPr>
              <w:rStyle w:val="PageNumber"/>
              <w:b/>
            </w:rPr>
            <w:instrText xml:space="preserve"> PAGE   \* MERGEFORMAT </w:instrText>
          </w:r>
          <w:r w:rsidRPr="00A23F93">
            <w:rPr>
              <w:rStyle w:val="PageNumber"/>
              <w:b/>
            </w:rPr>
            <w:fldChar w:fldCharType="separate"/>
          </w:r>
          <w:r w:rsidRPr="00A23F93">
            <w:rPr>
              <w:rStyle w:val="PageNumber"/>
              <w:b/>
            </w:rPr>
            <w:t>1</w:t>
          </w:r>
          <w:r w:rsidRPr="00A23F93">
            <w:rPr>
              <w:rStyle w:val="PageNumber"/>
              <w:b/>
            </w:rPr>
            <w:fldChar w:fldCharType="end"/>
          </w:r>
        </w:p>
      </w:tc>
    </w:tr>
  </w:tbl>
  <w:p w14:paraId="0EBF785A" w14:textId="77777777" w:rsidR="00626DB0" w:rsidRPr="00A23F93" w:rsidRDefault="00626DB0" w:rsidP="00903816">
    <w:pPr>
      <w:spacing w:line="200" w:lineRule="exact"/>
      <w:rPr>
        <w:rFonts w:ascii="Noto Sans" w:hAnsi="Noto San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7F7E" w14:textId="77777777" w:rsidR="00B66C15" w:rsidRDefault="00B66C15" w:rsidP="00B66C15">
    <w:pPr>
      <w:pStyle w:val="FootnoteText"/>
    </w:pPr>
    <w:r>
      <w:t>*Schroder International Selection Fund is referred to as Schroder ISF throughout.</w:t>
    </w:r>
  </w:p>
  <w:p w14:paraId="6FD7F11E" w14:textId="77777777" w:rsidR="00B5080A" w:rsidRPr="00B66C15" w:rsidRDefault="00634810" w:rsidP="00B66C15">
    <w:pPr>
      <w:pStyle w:val="FootnoteText"/>
      <w:rPr>
        <w:sz w:val="19"/>
        <w:szCs w:val="22"/>
      </w:rPr>
    </w:pPr>
    <w:r>
      <w:tab/>
    </w:r>
    <w:r>
      <w:rPr>
        <w:noProof/>
      </w:rPr>
      <w:drawing>
        <wp:anchor distT="0" distB="0" distL="114300" distR="114300" simplePos="0" relativeHeight="251659264" behindDoc="0" locked="1" layoutInCell="1" allowOverlap="1" wp14:anchorId="631374FB" wp14:editId="5A5FD0C3">
          <wp:simplePos x="0" y="0"/>
          <wp:positionH relativeFrom="page">
            <wp:posOffset>5478780</wp:posOffset>
          </wp:positionH>
          <wp:positionV relativeFrom="page">
            <wp:posOffset>10188575</wp:posOffset>
          </wp:positionV>
          <wp:extent cx="1536700" cy="287655"/>
          <wp:effectExtent l="0" t="0" r="6350" b="0"/>
          <wp:wrapNone/>
          <wp:docPr id="17762846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04451" name="Picture 5"/>
                  <pic:cNvPicPr/>
                </pic:nvPicPr>
                <pic:blipFill rotWithShape="1">
                  <a:blip r:embed="rId1"/>
                  <a:srcRect l="9451" t="26760" r="9749" b="28209"/>
                  <a:stretch/>
                </pic:blipFill>
                <pic:spPr bwMode="auto">
                  <a:xfrm>
                    <a:off x="0" y="0"/>
                    <a:ext cx="1536700" cy="287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CB51C" w14:textId="77777777" w:rsidR="00A62EF4" w:rsidRPr="00A23F93" w:rsidRDefault="00A62EF4" w:rsidP="005B67EA">
      <w:r w:rsidRPr="00A23F93">
        <w:separator/>
      </w:r>
    </w:p>
  </w:footnote>
  <w:footnote w:type="continuationSeparator" w:id="0">
    <w:p w14:paraId="0D965D7D" w14:textId="77777777" w:rsidR="00A62EF4" w:rsidRPr="00A23F93" w:rsidRDefault="00A62EF4" w:rsidP="00EC4E49">
      <w:r w:rsidRPr="00A23F93">
        <w:continuationSeparator/>
      </w:r>
    </w:p>
    <w:p w14:paraId="5C8D4EE3" w14:textId="77777777" w:rsidR="00A62EF4" w:rsidRPr="00A23F93" w:rsidRDefault="00A62EF4"/>
  </w:footnote>
  <w:footnote w:type="continuationNotice" w:id="1">
    <w:p w14:paraId="22C6018A" w14:textId="77777777" w:rsidR="00A62EF4" w:rsidRPr="00A23F93" w:rsidRDefault="00A62EF4"/>
    <w:p w14:paraId="2135D949" w14:textId="77777777" w:rsidR="00A62EF4" w:rsidRPr="00A23F93" w:rsidRDefault="00A62E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C642C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44BD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6285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44F6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7A1220"/>
    <w:lvl w:ilvl="0">
      <w:start w:val="31"/>
      <w:numFmt w:val="bullet"/>
      <w:pStyle w:val="ListBullet5"/>
      <w:lvlText w:val="–"/>
      <w:lvlJc w:val="left"/>
      <w:pPr>
        <w:ind w:left="1492" w:hanging="360"/>
      </w:pPr>
      <w:rPr>
        <w:rFonts w:ascii="Arial" w:eastAsia="Times New Roman" w:hAnsi="Arial" w:hint="default"/>
      </w:rPr>
    </w:lvl>
  </w:abstractNum>
  <w:abstractNum w:abstractNumId="5" w15:restartNumberingAfterBreak="0">
    <w:nsid w:val="FFFFFF81"/>
    <w:multiLevelType w:val="singleLevel"/>
    <w:tmpl w:val="03A2BA0E"/>
    <w:lvl w:ilvl="0">
      <w:start w:val="31"/>
      <w:numFmt w:val="bullet"/>
      <w:pStyle w:val="ListBullet4"/>
      <w:lvlText w:val="–"/>
      <w:lvlJc w:val="left"/>
      <w:pPr>
        <w:ind w:left="1040" w:hanging="360"/>
      </w:pPr>
      <w:rPr>
        <w:rFonts w:ascii="Arial" w:eastAsia="Times New Roman" w:hAnsi="Arial" w:hint="default"/>
      </w:rPr>
    </w:lvl>
  </w:abstractNum>
  <w:abstractNum w:abstractNumId="6" w15:restartNumberingAfterBreak="0">
    <w:nsid w:val="FFFFFF82"/>
    <w:multiLevelType w:val="singleLevel"/>
    <w:tmpl w:val="0B9A7D00"/>
    <w:lvl w:ilvl="0">
      <w:start w:val="31"/>
      <w:numFmt w:val="bullet"/>
      <w:pStyle w:val="ListBullet3"/>
      <w:lvlText w:val="–"/>
      <w:lvlJc w:val="left"/>
      <w:pPr>
        <w:ind w:left="926" w:hanging="360"/>
      </w:pPr>
      <w:rPr>
        <w:rFonts w:ascii="Arial" w:eastAsia="Times New Roman" w:hAnsi="Arial" w:hint="default"/>
      </w:rPr>
    </w:lvl>
  </w:abstractNum>
  <w:abstractNum w:abstractNumId="7" w15:restartNumberingAfterBreak="0">
    <w:nsid w:val="FFFFFF83"/>
    <w:multiLevelType w:val="singleLevel"/>
    <w:tmpl w:val="9ACCF07C"/>
    <w:lvl w:ilvl="0">
      <w:start w:val="31"/>
      <w:numFmt w:val="bullet"/>
      <w:pStyle w:val="ListBullet2"/>
      <w:lvlText w:val="–"/>
      <w:lvlJc w:val="left"/>
      <w:pPr>
        <w:ind w:left="643" w:hanging="360"/>
      </w:pPr>
      <w:rPr>
        <w:rFonts w:ascii="Arial" w:eastAsia="Times New Roman" w:hAnsi="Arial" w:hint="default"/>
      </w:rPr>
    </w:lvl>
  </w:abstractNum>
  <w:abstractNum w:abstractNumId="8" w15:restartNumberingAfterBreak="0">
    <w:nsid w:val="FFFFFF88"/>
    <w:multiLevelType w:val="singleLevel"/>
    <w:tmpl w:val="B9965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FA8F9A2"/>
    <w:lvl w:ilvl="0">
      <w:start w:val="31"/>
      <w:numFmt w:val="bullet"/>
      <w:pStyle w:val="ListBullet"/>
      <w:lvlText w:val="–"/>
      <w:lvlJc w:val="left"/>
      <w:pPr>
        <w:ind w:left="360" w:hanging="360"/>
      </w:pPr>
      <w:rPr>
        <w:rFonts w:ascii="Arial" w:eastAsia="Times New Roman" w:hAnsi="Arial" w:hint="default"/>
      </w:rPr>
    </w:lvl>
  </w:abstractNum>
  <w:abstractNum w:abstractNumId="10" w15:restartNumberingAfterBreak="0">
    <w:nsid w:val="06CC62D2"/>
    <w:multiLevelType w:val="singleLevel"/>
    <w:tmpl w:val="15BC518C"/>
    <w:lvl w:ilvl="0">
      <w:start w:val="1"/>
      <w:numFmt w:val="lowerLetter"/>
      <w:lvlText w:val="%1."/>
      <w:lvlJc w:val="left"/>
      <w:pPr>
        <w:tabs>
          <w:tab w:val="num" w:pos="680"/>
        </w:tabs>
        <w:ind w:left="357" w:hanging="357"/>
      </w:pPr>
      <w:rPr>
        <w:rFonts w:hint="default"/>
      </w:rPr>
    </w:lvl>
  </w:abstractNum>
  <w:abstractNum w:abstractNumId="11" w15:restartNumberingAfterBreak="0">
    <w:nsid w:val="0C0D02E5"/>
    <w:multiLevelType w:val="hybridMultilevel"/>
    <w:tmpl w:val="EB1042F6"/>
    <w:lvl w:ilvl="0" w:tplc="E1AAF8DE">
      <w:start w:val="1"/>
      <w:numFmt w:val="lowerRoman"/>
      <w:pStyle w:val="NumerallistBold"/>
      <w:lvlText w:val="%1."/>
      <w:lvlJc w:val="left"/>
      <w:pPr>
        <w:ind w:left="425" w:hanging="4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7F24AD3"/>
    <w:multiLevelType w:val="multilevel"/>
    <w:tmpl w:val="2EE0A220"/>
    <w:styleLink w:val="b17legalnumberedlist"/>
    <w:lvl w:ilvl="0">
      <w:start w:val="1"/>
      <w:numFmt w:val="decimal"/>
      <w:lvlText w:val="%1."/>
      <w:lvlJc w:val="left"/>
      <w:pPr>
        <w:ind w:left="709" w:hanging="709"/>
      </w:pPr>
      <w:rPr>
        <w:rFonts w:ascii="Noto Sans" w:hAnsi="Noto Sans" w:hint="default"/>
        <w:b/>
        <w:i w:val="0"/>
        <w:sz w:val="19"/>
        <w:u w:color="000000" w:themeColor="text1"/>
      </w:rPr>
    </w:lvl>
    <w:lvl w:ilvl="1">
      <w:start w:val="1"/>
      <w:numFmt w:val="decimal"/>
      <w:lvlText w:val="%1.%2"/>
      <w:lvlJc w:val="left"/>
      <w:pPr>
        <w:ind w:left="709" w:hanging="709"/>
      </w:pPr>
      <w:rPr>
        <w:rFonts w:ascii="Noto Sans" w:hAnsi="Noto Sans" w:hint="default"/>
        <w:b w:val="0"/>
        <w:i w:val="0"/>
        <w:sz w:val="19"/>
        <w:u w:color="000000" w:themeColor="text1"/>
      </w:rPr>
    </w:lvl>
    <w:lvl w:ilvl="2">
      <w:start w:val="1"/>
      <w:numFmt w:val="decimal"/>
      <w:lvlText w:val="%1.%2.%3"/>
      <w:lvlJc w:val="left"/>
      <w:pPr>
        <w:ind w:left="709" w:hanging="709"/>
      </w:pPr>
      <w:rPr>
        <w:rFonts w:ascii="Noto Sans" w:hAnsi="Noto Sans" w:hint="default"/>
        <w:b w:val="0"/>
        <w:i w:val="0"/>
        <w:sz w:val="19"/>
        <w:u w:color="000000" w:themeColor="text1"/>
      </w:rPr>
    </w:lvl>
    <w:lvl w:ilvl="3">
      <w:start w:val="1"/>
      <w:numFmt w:val="decimal"/>
      <w:lvlText w:val="%1.%2.%3.%4."/>
      <w:lvlJc w:val="left"/>
      <w:pPr>
        <w:ind w:left="3515" w:hanging="1247"/>
      </w:pPr>
      <w:rPr>
        <w:rFonts w:hint="default"/>
      </w:rPr>
    </w:lvl>
    <w:lvl w:ilvl="4">
      <w:start w:val="1"/>
      <w:numFmt w:val="decimal"/>
      <w:lvlText w:val="%1.%2.%3.%4.%5."/>
      <w:lvlJc w:val="left"/>
      <w:pPr>
        <w:ind w:left="2693" w:hanging="425"/>
      </w:pPr>
      <w:rPr>
        <w:rFonts w:hint="default"/>
      </w:rPr>
    </w:lvl>
    <w:lvl w:ilvl="5">
      <w:start w:val="1"/>
      <w:numFmt w:val="decimal"/>
      <w:lvlText w:val="%1.%2.%3.%4.%5.%6."/>
      <w:lvlJc w:val="left"/>
      <w:pPr>
        <w:ind w:left="3260" w:hanging="425"/>
      </w:pPr>
      <w:rPr>
        <w:rFonts w:hint="default"/>
      </w:rPr>
    </w:lvl>
    <w:lvl w:ilvl="6">
      <w:start w:val="1"/>
      <w:numFmt w:val="decimal"/>
      <w:lvlText w:val="%1.%2.%3.%4.%5.%6.%7."/>
      <w:lvlJc w:val="left"/>
      <w:pPr>
        <w:ind w:left="3827" w:hanging="425"/>
      </w:pPr>
      <w:rPr>
        <w:rFonts w:hint="default"/>
      </w:rPr>
    </w:lvl>
    <w:lvl w:ilvl="7">
      <w:start w:val="1"/>
      <w:numFmt w:val="decimal"/>
      <w:lvlText w:val="%1.%2.%3.%4.%5.%6.%7.%8."/>
      <w:lvlJc w:val="left"/>
      <w:pPr>
        <w:ind w:left="4394" w:hanging="425"/>
      </w:pPr>
      <w:rPr>
        <w:rFonts w:hint="default"/>
      </w:rPr>
    </w:lvl>
    <w:lvl w:ilvl="8">
      <w:start w:val="1"/>
      <w:numFmt w:val="decimal"/>
      <w:lvlText w:val="%1.%2.%3.%4.%5.%6.%7.%8.%9."/>
      <w:lvlJc w:val="left"/>
      <w:pPr>
        <w:ind w:left="4961" w:hanging="425"/>
      </w:pPr>
      <w:rPr>
        <w:rFonts w:hint="default"/>
      </w:rPr>
    </w:lvl>
  </w:abstractNum>
  <w:abstractNum w:abstractNumId="13" w15:restartNumberingAfterBreak="0">
    <w:nsid w:val="297C26D5"/>
    <w:multiLevelType w:val="singleLevel"/>
    <w:tmpl w:val="72FEDCCA"/>
    <w:lvl w:ilvl="0">
      <w:start w:val="1"/>
      <w:numFmt w:val="decimal"/>
      <w:lvlText w:val="%1."/>
      <w:lvlJc w:val="left"/>
      <w:pPr>
        <w:ind w:left="360" w:hanging="360"/>
      </w:pPr>
      <w:rPr>
        <w:rFonts w:ascii="Noto Sans" w:hAnsi="Noto Sans" w:hint="default"/>
        <w:b/>
        <w:i w:val="0"/>
        <w:sz w:val="20"/>
        <w:szCs w:val="20"/>
      </w:rPr>
    </w:lvl>
  </w:abstractNum>
  <w:abstractNum w:abstractNumId="14" w15:restartNumberingAfterBreak="0">
    <w:nsid w:val="2A023F42"/>
    <w:multiLevelType w:val="hybridMultilevel"/>
    <w:tmpl w:val="4B767612"/>
    <w:lvl w:ilvl="0" w:tplc="27B0E32A">
      <w:start w:val="1"/>
      <w:numFmt w:val="lowerLetter"/>
      <w:pStyle w:val="LetteredlistRegular"/>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496058"/>
    <w:multiLevelType w:val="hybridMultilevel"/>
    <w:tmpl w:val="B702625E"/>
    <w:lvl w:ilvl="0" w:tplc="103C3A56">
      <w:start w:val="1"/>
      <w:numFmt w:val="bullet"/>
      <w:lvlText w:val="–"/>
      <w:lvlJc w:val="left"/>
      <w:pPr>
        <w:tabs>
          <w:tab w:val="num" w:pos="720"/>
        </w:tabs>
        <w:ind w:left="720" w:hanging="360"/>
      </w:pPr>
      <w:rPr>
        <w:rFonts w:ascii="Noto Sans" w:hAnsi="Noto Sans" w:hint="default"/>
      </w:rPr>
    </w:lvl>
    <w:lvl w:ilvl="1" w:tplc="6F92B45E" w:tentative="1">
      <w:start w:val="1"/>
      <w:numFmt w:val="bullet"/>
      <w:lvlText w:val="–"/>
      <w:lvlJc w:val="left"/>
      <w:pPr>
        <w:tabs>
          <w:tab w:val="num" w:pos="1440"/>
        </w:tabs>
        <w:ind w:left="1440" w:hanging="360"/>
      </w:pPr>
      <w:rPr>
        <w:rFonts w:ascii="Noto Sans" w:hAnsi="Noto Sans" w:hint="default"/>
      </w:rPr>
    </w:lvl>
    <w:lvl w:ilvl="2" w:tplc="2926F9E8" w:tentative="1">
      <w:start w:val="1"/>
      <w:numFmt w:val="bullet"/>
      <w:lvlText w:val="–"/>
      <w:lvlJc w:val="left"/>
      <w:pPr>
        <w:tabs>
          <w:tab w:val="num" w:pos="2160"/>
        </w:tabs>
        <w:ind w:left="2160" w:hanging="360"/>
      </w:pPr>
      <w:rPr>
        <w:rFonts w:ascii="Noto Sans" w:hAnsi="Noto Sans" w:hint="default"/>
      </w:rPr>
    </w:lvl>
    <w:lvl w:ilvl="3" w:tplc="D4DE02D8" w:tentative="1">
      <w:start w:val="1"/>
      <w:numFmt w:val="bullet"/>
      <w:lvlText w:val="–"/>
      <w:lvlJc w:val="left"/>
      <w:pPr>
        <w:tabs>
          <w:tab w:val="num" w:pos="2880"/>
        </w:tabs>
        <w:ind w:left="2880" w:hanging="360"/>
      </w:pPr>
      <w:rPr>
        <w:rFonts w:ascii="Noto Sans" w:hAnsi="Noto Sans" w:hint="default"/>
      </w:rPr>
    </w:lvl>
    <w:lvl w:ilvl="4" w:tplc="5EDEE34A" w:tentative="1">
      <w:start w:val="1"/>
      <w:numFmt w:val="bullet"/>
      <w:lvlText w:val="–"/>
      <w:lvlJc w:val="left"/>
      <w:pPr>
        <w:tabs>
          <w:tab w:val="num" w:pos="3600"/>
        </w:tabs>
        <w:ind w:left="3600" w:hanging="360"/>
      </w:pPr>
      <w:rPr>
        <w:rFonts w:ascii="Noto Sans" w:hAnsi="Noto Sans" w:hint="default"/>
      </w:rPr>
    </w:lvl>
    <w:lvl w:ilvl="5" w:tplc="15AA9EF8" w:tentative="1">
      <w:start w:val="1"/>
      <w:numFmt w:val="bullet"/>
      <w:lvlText w:val="–"/>
      <w:lvlJc w:val="left"/>
      <w:pPr>
        <w:tabs>
          <w:tab w:val="num" w:pos="4320"/>
        </w:tabs>
        <w:ind w:left="4320" w:hanging="360"/>
      </w:pPr>
      <w:rPr>
        <w:rFonts w:ascii="Noto Sans" w:hAnsi="Noto Sans" w:hint="default"/>
      </w:rPr>
    </w:lvl>
    <w:lvl w:ilvl="6" w:tplc="13DC1DD0" w:tentative="1">
      <w:start w:val="1"/>
      <w:numFmt w:val="bullet"/>
      <w:lvlText w:val="–"/>
      <w:lvlJc w:val="left"/>
      <w:pPr>
        <w:tabs>
          <w:tab w:val="num" w:pos="5040"/>
        </w:tabs>
        <w:ind w:left="5040" w:hanging="360"/>
      </w:pPr>
      <w:rPr>
        <w:rFonts w:ascii="Noto Sans" w:hAnsi="Noto Sans" w:hint="default"/>
      </w:rPr>
    </w:lvl>
    <w:lvl w:ilvl="7" w:tplc="1E1EAB28" w:tentative="1">
      <w:start w:val="1"/>
      <w:numFmt w:val="bullet"/>
      <w:lvlText w:val="–"/>
      <w:lvlJc w:val="left"/>
      <w:pPr>
        <w:tabs>
          <w:tab w:val="num" w:pos="5760"/>
        </w:tabs>
        <w:ind w:left="5760" w:hanging="360"/>
      </w:pPr>
      <w:rPr>
        <w:rFonts w:ascii="Noto Sans" w:hAnsi="Noto Sans" w:hint="default"/>
      </w:rPr>
    </w:lvl>
    <w:lvl w:ilvl="8" w:tplc="9DFC4278" w:tentative="1">
      <w:start w:val="1"/>
      <w:numFmt w:val="bullet"/>
      <w:lvlText w:val="–"/>
      <w:lvlJc w:val="left"/>
      <w:pPr>
        <w:tabs>
          <w:tab w:val="num" w:pos="6480"/>
        </w:tabs>
        <w:ind w:left="6480" w:hanging="360"/>
      </w:pPr>
      <w:rPr>
        <w:rFonts w:ascii="Noto Sans" w:hAnsi="Noto Sans" w:hint="default"/>
      </w:rPr>
    </w:lvl>
  </w:abstractNum>
  <w:abstractNum w:abstractNumId="16" w15:restartNumberingAfterBreak="0">
    <w:nsid w:val="40EE3C1F"/>
    <w:multiLevelType w:val="hybridMultilevel"/>
    <w:tmpl w:val="E9A4CD40"/>
    <w:lvl w:ilvl="0" w:tplc="95F69FC8">
      <w:start w:val="1"/>
      <w:numFmt w:val="lowerRoman"/>
      <w:pStyle w:val="NumerallistRegular"/>
      <w:lvlText w:val="%1."/>
      <w:lvlJc w:val="left"/>
      <w:pPr>
        <w:ind w:left="425" w:hanging="42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3B2480C"/>
    <w:multiLevelType w:val="singleLevel"/>
    <w:tmpl w:val="1FDCA25A"/>
    <w:lvl w:ilvl="0">
      <w:start w:val="1"/>
      <w:numFmt w:val="bullet"/>
      <w:pStyle w:val="BulletedtextRegular"/>
      <w:lvlText w:val="–"/>
      <w:lvlJc w:val="left"/>
      <w:pPr>
        <w:ind w:left="425" w:hanging="425"/>
      </w:pPr>
      <w:rPr>
        <w:rFonts w:ascii="Arial" w:hAnsi="Arial" w:hint="default"/>
      </w:rPr>
    </w:lvl>
  </w:abstractNum>
  <w:abstractNum w:abstractNumId="18" w15:restartNumberingAfterBreak="0">
    <w:nsid w:val="4B6F2E1C"/>
    <w:multiLevelType w:val="multilevel"/>
    <w:tmpl w:val="7AC43B3A"/>
    <w:lvl w:ilvl="0">
      <w:start w:val="1"/>
      <w:numFmt w:val="decimal"/>
      <w:pStyle w:val="Multilevellist1"/>
      <w:lvlText w:val="%1."/>
      <w:lvlJc w:val="left"/>
      <w:pPr>
        <w:ind w:left="851" w:hanging="851"/>
      </w:pPr>
      <w:rPr>
        <w:rFonts w:hint="default"/>
      </w:rPr>
    </w:lvl>
    <w:lvl w:ilvl="1">
      <w:start w:val="1"/>
      <w:numFmt w:val="decimal"/>
      <w:pStyle w:val="Multilevellistlevel2"/>
      <w:lvlText w:val="%1.%2"/>
      <w:lvlJc w:val="left"/>
      <w:pPr>
        <w:ind w:left="851" w:hanging="851"/>
      </w:pPr>
      <w:rPr>
        <w:rFonts w:hint="default"/>
      </w:rPr>
    </w:lvl>
    <w:lvl w:ilvl="2">
      <w:start w:val="1"/>
      <w:numFmt w:val="decimal"/>
      <w:pStyle w:val="Multilevellistlevel3"/>
      <w:lvlText w:val="%1.%2.%3"/>
      <w:lvlJc w:val="left"/>
      <w:pPr>
        <w:ind w:left="851" w:hanging="851"/>
      </w:pPr>
      <w:rPr>
        <w:rFonts w:hint="default"/>
      </w:rPr>
    </w:lvl>
    <w:lvl w:ilvl="3">
      <w:start w:val="1"/>
      <w:numFmt w:val="decimal"/>
      <w:pStyle w:val="Multilevellistlevel4"/>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9" w15:restartNumberingAfterBreak="0">
    <w:nsid w:val="4D4470B5"/>
    <w:multiLevelType w:val="singleLevel"/>
    <w:tmpl w:val="78028784"/>
    <w:lvl w:ilvl="0">
      <w:start w:val="1"/>
      <w:numFmt w:val="decimal"/>
      <w:pStyle w:val="NumberedlistRegular"/>
      <w:lvlText w:val="%1."/>
      <w:lvlJc w:val="left"/>
      <w:pPr>
        <w:ind w:left="425" w:hanging="425"/>
      </w:pPr>
      <w:rPr>
        <w:rFonts w:hint="default"/>
      </w:rPr>
    </w:lvl>
  </w:abstractNum>
  <w:abstractNum w:abstractNumId="20" w15:restartNumberingAfterBreak="0">
    <w:nsid w:val="51C950BC"/>
    <w:multiLevelType w:val="multilevel"/>
    <w:tmpl w:val="C4044232"/>
    <w:lvl w:ilvl="0">
      <w:start w:val="1"/>
      <w:numFmt w:val="decimal"/>
      <w:lvlText w:val="Section %1"/>
      <w:lvlJc w:val="left"/>
      <w:pPr>
        <w:ind w:left="3828" w:hanging="2126"/>
      </w:pPr>
      <w:rPr>
        <w:rFonts w:hint="default"/>
        <w:color w:val="A446BA" w:themeColor="text2"/>
      </w:rPr>
    </w:lvl>
    <w:lvl w:ilvl="1">
      <w:start w:val="1"/>
      <w:numFmt w:val="decimal"/>
      <w:lvlText w:val="%1.%2"/>
      <w:lvlJc w:val="left"/>
      <w:pPr>
        <w:ind w:left="425" w:hanging="42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FA217FA"/>
    <w:multiLevelType w:val="multilevel"/>
    <w:tmpl w:val="8DA8E702"/>
    <w:lvl w:ilvl="0">
      <w:start w:val="1"/>
      <w:numFmt w:val="decimal"/>
      <w:lvlText w:val="Appendix %1"/>
      <w:lvlJc w:val="left"/>
      <w:pPr>
        <w:ind w:left="2552" w:hanging="255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807"/>
        </w:tabs>
        <w:ind w:left="2807" w:hanging="680"/>
      </w:pPr>
      <w:rPr>
        <w:rFonts w:hint="default"/>
      </w:rPr>
    </w:lvl>
    <w:lvl w:ilvl="2">
      <w:start w:val="1"/>
      <w:numFmt w:val="decimal"/>
      <w:lvlText w:val="%1.%2.%3"/>
      <w:lvlJc w:val="left"/>
      <w:pPr>
        <w:tabs>
          <w:tab w:val="num" w:pos="3207"/>
        </w:tabs>
        <w:ind w:left="2807" w:hanging="680"/>
      </w:pPr>
      <w:rPr>
        <w:rFonts w:hint="default"/>
      </w:rPr>
    </w:lvl>
    <w:lvl w:ilvl="3">
      <w:start w:val="1"/>
      <w:numFmt w:val="lowerRoman"/>
      <w:lvlText w:val="%4)"/>
      <w:lvlJc w:val="left"/>
      <w:pPr>
        <w:tabs>
          <w:tab w:val="num" w:pos="2694"/>
        </w:tabs>
        <w:ind w:left="2694"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isLgl/>
      <w:suff w:val="nothing"/>
      <w:lvlText w:val=""/>
      <w:lvlJc w:val="left"/>
      <w:pPr>
        <w:ind w:left="2694" w:hanging="567"/>
      </w:pPr>
      <w:rPr>
        <w:rFonts w:hint="default"/>
      </w:rPr>
    </w:lvl>
    <w:lvl w:ilvl="5">
      <w:start w:val="1"/>
      <w:numFmt w:val="decimal"/>
      <w:lvlText w:val="%1.%2.%3.%4.%5.%6"/>
      <w:lvlJc w:val="left"/>
      <w:pPr>
        <w:tabs>
          <w:tab w:val="num" w:pos="3279"/>
        </w:tabs>
        <w:ind w:left="3279" w:hanging="1152"/>
      </w:pPr>
      <w:rPr>
        <w:rFonts w:hint="default"/>
      </w:rPr>
    </w:lvl>
    <w:lvl w:ilvl="6">
      <w:start w:val="1"/>
      <w:numFmt w:val="none"/>
      <w:lvlText w:val=""/>
      <w:lvlJc w:val="left"/>
      <w:pPr>
        <w:tabs>
          <w:tab w:val="num" w:pos="3423"/>
        </w:tabs>
        <w:ind w:left="3423" w:hanging="1296"/>
      </w:pPr>
      <w:rPr>
        <w:rFonts w:hint="default"/>
      </w:rPr>
    </w:lvl>
    <w:lvl w:ilvl="7">
      <w:start w:val="1"/>
      <w:numFmt w:val="decimal"/>
      <w:lvlText w:val="%1.%2.%3.%4.%5.%6.%7.%8"/>
      <w:lvlJc w:val="left"/>
      <w:pPr>
        <w:tabs>
          <w:tab w:val="num" w:pos="3567"/>
        </w:tabs>
        <w:ind w:left="3567" w:hanging="1440"/>
      </w:pPr>
      <w:rPr>
        <w:rFonts w:hint="default"/>
      </w:rPr>
    </w:lvl>
    <w:lvl w:ilvl="8">
      <w:start w:val="1"/>
      <w:numFmt w:val="none"/>
      <w:lvlText w:val=""/>
      <w:lvlJc w:val="left"/>
      <w:pPr>
        <w:tabs>
          <w:tab w:val="num" w:pos="4962"/>
        </w:tabs>
        <w:ind w:left="4962" w:hanging="2835"/>
      </w:pPr>
      <w:rPr>
        <w:rFonts w:hint="default"/>
      </w:rPr>
    </w:lvl>
  </w:abstractNum>
  <w:abstractNum w:abstractNumId="22" w15:restartNumberingAfterBreak="0">
    <w:nsid w:val="715B7BBD"/>
    <w:multiLevelType w:val="hybridMultilevel"/>
    <w:tmpl w:val="5E9635DA"/>
    <w:lvl w:ilvl="0" w:tplc="68BA3B14">
      <w:start w:val="1"/>
      <w:numFmt w:val="decimal"/>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A2351C0"/>
    <w:multiLevelType w:val="hybridMultilevel"/>
    <w:tmpl w:val="32EACC82"/>
    <w:lvl w:ilvl="0" w:tplc="2BF6EAD4">
      <w:start w:val="31"/>
      <w:numFmt w:val="bullet"/>
      <w:pStyle w:val="Tabletext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40654F"/>
    <w:multiLevelType w:val="hybridMultilevel"/>
    <w:tmpl w:val="F4CA6970"/>
    <w:lvl w:ilvl="0" w:tplc="6EA07572">
      <w:start w:val="1"/>
      <w:numFmt w:val="bullet"/>
      <w:pStyle w:val="Sub-bulletedtex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B01E4B"/>
    <w:multiLevelType w:val="hybridMultilevel"/>
    <w:tmpl w:val="D3C4BBB4"/>
    <w:lvl w:ilvl="0" w:tplc="044E95A2">
      <w:start w:val="1"/>
      <w:numFmt w:val="lowerLetter"/>
      <w:pStyle w:val="LetteredlistBold"/>
      <w:lvlText w:val="%1."/>
      <w:lvlJc w:val="left"/>
      <w:pPr>
        <w:ind w:left="425" w:hanging="42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9000F4"/>
    <w:multiLevelType w:val="hybridMultilevel"/>
    <w:tmpl w:val="5E08C598"/>
    <w:lvl w:ilvl="0" w:tplc="F968B7C2">
      <w:start w:val="1"/>
      <w:numFmt w:val="lowerLetter"/>
      <w:lvlText w:val="%1."/>
      <w:lvlJc w:val="left"/>
      <w:pPr>
        <w:ind w:left="357" w:hanging="35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2806123">
    <w:abstractNumId w:val="9"/>
  </w:num>
  <w:num w:numId="2" w16cid:durableId="1077482466">
    <w:abstractNumId w:val="7"/>
  </w:num>
  <w:num w:numId="3" w16cid:durableId="467404019">
    <w:abstractNumId w:val="6"/>
  </w:num>
  <w:num w:numId="4" w16cid:durableId="404765174">
    <w:abstractNumId w:val="5"/>
  </w:num>
  <w:num w:numId="5" w16cid:durableId="1313488688">
    <w:abstractNumId w:val="4"/>
  </w:num>
  <w:num w:numId="6" w16cid:durableId="100271668">
    <w:abstractNumId w:val="17"/>
  </w:num>
  <w:num w:numId="7" w16cid:durableId="1595939290">
    <w:abstractNumId w:val="19"/>
  </w:num>
  <w:num w:numId="8" w16cid:durableId="1275870892">
    <w:abstractNumId w:val="13"/>
  </w:num>
  <w:num w:numId="9" w16cid:durableId="612178504">
    <w:abstractNumId w:val="16"/>
  </w:num>
  <w:num w:numId="10" w16cid:durableId="536938488">
    <w:abstractNumId w:val="11"/>
  </w:num>
  <w:num w:numId="11" w16cid:durableId="1160923921">
    <w:abstractNumId w:val="14"/>
  </w:num>
  <w:num w:numId="12" w16cid:durableId="117572224">
    <w:abstractNumId w:val="20"/>
  </w:num>
  <w:num w:numId="13" w16cid:durableId="2137329981">
    <w:abstractNumId w:val="25"/>
  </w:num>
  <w:num w:numId="14" w16cid:durableId="1721855778">
    <w:abstractNumId w:val="21"/>
  </w:num>
  <w:num w:numId="15" w16cid:durableId="113908630">
    <w:abstractNumId w:val="13"/>
  </w:num>
  <w:num w:numId="16" w16cid:durableId="2082099280">
    <w:abstractNumId w:val="19"/>
  </w:num>
  <w:num w:numId="17" w16cid:durableId="1407729630">
    <w:abstractNumId w:val="25"/>
  </w:num>
  <w:num w:numId="18" w16cid:durableId="1443497560">
    <w:abstractNumId w:val="14"/>
  </w:num>
  <w:num w:numId="19" w16cid:durableId="1618296394">
    <w:abstractNumId w:val="17"/>
  </w:num>
  <w:num w:numId="20" w16cid:durableId="130561703">
    <w:abstractNumId w:val="11"/>
  </w:num>
  <w:num w:numId="21" w16cid:durableId="1949774972">
    <w:abstractNumId w:val="16"/>
  </w:num>
  <w:num w:numId="22" w16cid:durableId="835729848">
    <w:abstractNumId w:val="20"/>
  </w:num>
  <w:num w:numId="23" w16cid:durableId="392042081">
    <w:abstractNumId w:val="23"/>
  </w:num>
  <w:num w:numId="24" w16cid:durableId="1507281871">
    <w:abstractNumId w:val="17"/>
  </w:num>
  <w:num w:numId="25" w16cid:durableId="1647391129">
    <w:abstractNumId w:val="21"/>
  </w:num>
  <w:num w:numId="26" w16cid:durableId="1342391015">
    <w:abstractNumId w:val="12"/>
  </w:num>
  <w:num w:numId="27" w16cid:durableId="1491756177">
    <w:abstractNumId w:val="24"/>
  </w:num>
  <w:num w:numId="28" w16cid:durableId="172451523">
    <w:abstractNumId w:val="8"/>
  </w:num>
  <w:num w:numId="29" w16cid:durableId="366488392">
    <w:abstractNumId w:val="3"/>
  </w:num>
  <w:num w:numId="30" w16cid:durableId="109328283">
    <w:abstractNumId w:val="2"/>
  </w:num>
  <w:num w:numId="31" w16cid:durableId="285356558">
    <w:abstractNumId w:val="1"/>
  </w:num>
  <w:num w:numId="32" w16cid:durableId="1290042224">
    <w:abstractNumId w:val="0"/>
  </w:num>
  <w:num w:numId="33" w16cid:durableId="4885215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75491439">
    <w:abstractNumId w:val="20"/>
  </w:num>
  <w:num w:numId="35" w16cid:durableId="1106388310">
    <w:abstractNumId w:val="18"/>
  </w:num>
  <w:num w:numId="36" w16cid:durableId="1421415432">
    <w:abstractNumId w:val="26"/>
  </w:num>
  <w:num w:numId="37" w16cid:durableId="787742933">
    <w:abstractNumId w:val="20"/>
  </w:num>
  <w:num w:numId="38" w16cid:durableId="737632976">
    <w:abstractNumId w:val="20"/>
  </w:num>
  <w:num w:numId="39" w16cid:durableId="877819785">
    <w:abstractNumId w:val="20"/>
  </w:num>
  <w:num w:numId="40" w16cid:durableId="1016613435">
    <w:abstractNumId w:val="10"/>
    <w:lvlOverride w:ilvl="0">
      <w:startOverride w:val="6"/>
    </w:lvlOverride>
  </w:num>
  <w:num w:numId="41" w16cid:durableId="10571981">
    <w:abstractNumId w:val="22"/>
  </w:num>
  <w:num w:numId="42" w16cid:durableId="673924818">
    <w:abstractNumId w:val="15"/>
  </w:num>
  <w:num w:numId="43" w16cid:durableId="1123620625">
    <w:abstractNumId w:val="23"/>
  </w:num>
  <w:num w:numId="44" w16cid:durableId="2046786535">
    <w:abstractNumId w:val="17"/>
  </w:num>
  <w:num w:numId="45" w16cid:durableId="1711370635">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F56"/>
    <w:rsid w:val="00000BBB"/>
    <w:rsid w:val="000011B2"/>
    <w:rsid w:val="00001AA8"/>
    <w:rsid w:val="000031BF"/>
    <w:rsid w:val="00003573"/>
    <w:rsid w:val="0000375A"/>
    <w:rsid w:val="00003D11"/>
    <w:rsid w:val="000066AB"/>
    <w:rsid w:val="00006AD1"/>
    <w:rsid w:val="00006F11"/>
    <w:rsid w:val="00007046"/>
    <w:rsid w:val="00007F4D"/>
    <w:rsid w:val="000117A5"/>
    <w:rsid w:val="000120F1"/>
    <w:rsid w:val="0001267C"/>
    <w:rsid w:val="00012EB8"/>
    <w:rsid w:val="00013CD9"/>
    <w:rsid w:val="00014018"/>
    <w:rsid w:val="0001403E"/>
    <w:rsid w:val="000155C2"/>
    <w:rsid w:val="00015DFD"/>
    <w:rsid w:val="00016394"/>
    <w:rsid w:val="000172FF"/>
    <w:rsid w:val="00020E55"/>
    <w:rsid w:val="00021024"/>
    <w:rsid w:val="00022C02"/>
    <w:rsid w:val="00025D1A"/>
    <w:rsid w:val="00026731"/>
    <w:rsid w:val="00027A38"/>
    <w:rsid w:val="000311FB"/>
    <w:rsid w:val="00033B6A"/>
    <w:rsid w:val="000345B2"/>
    <w:rsid w:val="00034B4C"/>
    <w:rsid w:val="000374AB"/>
    <w:rsid w:val="00041658"/>
    <w:rsid w:val="0004186D"/>
    <w:rsid w:val="00044619"/>
    <w:rsid w:val="00044F37"/>
    <w:rsid w:val="000470CE"/>
    <w:rsid w:val="0004770C"/>
    <w:rsid w:val="00047D5D"/>
    <w:rsid w:val="00051AFE"/>
    <w:rsid w:val="00052460"/>
    <w:rsid w:val="00053DE4"/>
    <w:rsid w:val="00056072"/>
    <w:rsid w:val="00056D6A"/>
    <w:rsid w:val="00057A42"/>
    <w:rsid w:val="00057BC9"/>
    <w:rsid w:val="00060D93"/>
    <w:rsid w:val="000613AD"/>
    <w:rsid w:val="0006152F"/>
    <w:rsid w:val="00062761"/>
    <w:rsid w:val="00062C8E"/>
    <w:rsid w:val="00062ECD"/>
    <w:rsid w:val="000652FB"/>
    <w:rsid w:val="000658EF"/>
    <w:rsid w:val="0006657D"/>
    <w:rsid w:val="00066BFF"/>
    <w:rsid w:val="00067232"/>
    <w:rsid w:val="00067C96"/>
    <w:rsid w:val="0007333E"/>
    <w:rsid w:val="00073A5C"/>
    <w:rsid w:val="00075001"/>
    <w:rsid w:val="00076530"/>
    <w:rsid w:val="00082D3C"/>
    <w:rsid w:val="0008300B"/>
    <w:rsid w:val="00085242"/>
    <w:rsid w:val="0008623E"/>
    <w:rsid w:val="00086792"/>
    <w:rsid w:val="00086EAB"/>
    <w:rsid w:val="00086EC2"/>
    <w:rsid w:val="00091247"/>
    <w:rsid w:val="00093647"/>
    <w:rsid w:val="000939FD"/>
    <w:rsid w:val="00094952"/>
    <w:rsid w:val="0009796F"/>
    <w:rsid w:val="000A012C"/>
    <w:rsid w:val="000A140C"/>
    <w:rsid w:val="000A3F5A"/>
    <w:rsid w:val="000A41E8"/>
    <w:rsid w:val="000A5750"/>
    <w:rsid w:val="000A71B3"/>
    <w:rsid w:val="000B1056"/>
    <w:rsid w:val="000B33D5"/>
    <w:rsid w:val="000B41B6"/>
    <w:rsid w:val="000B44F7"/>
    <w:rsid w:val="000B5185"/>
    <w:rsid w:val="000B545A"/>
    <w:rsid w:val="000B6560"/>
    <w:rsid w:val="000B6ABA"/>
    <w:rsid w:val="000C09CD"/>
    <w:rsid w:val="000C4793"/>
    <w:rsid w:val="000C4876"/>
    <w:rsid w:val="000C48F1"/>
    <w:rsid w:val="000C5914"/>
    <w:rsid w:val="000C5DFA"/>
    <w:rsid w:val="000C7147"/>
    <w:rsid w:val="000D05B8"/>
    <w:rsid w:val="000D099A"/>
    <w:rsid w:val="000D0CA0"/>
    <w:rsid w:val="000D3B4F"/>
    <w:rsid w:val="000D5417"/>
    <w:rsid w:val="000D5429"/>
    <w:rsid w:val="000D67CD"/>
    <w:rsid w:val="000D7AD1"/>
    <w:rsid w:val="000E0B41"/>
    <w:rsid w:val="000E31CE"/>
    <w:rsid w:val="000E4302"/>
    <w:rsid w:val="000E74C9"/>
    <w:rsid w:val="000E77A1"/>
    <w:rsid w:val="000E7B69"/>
    <w:rsid w:val="000E7BF9"/>
    <w:rsid w:val="000F2A53"/>
    <w:rsid w:val="000F4368"/>
    <w:rsid w:val="000F61FA"/>
    <w:rsid w:val="000F638B"/>
    <w:rsid w:val="00101343"/>
    <w:rsid w:val="0010159F"/>
    <w:rsid w:val="001019D9"/>
    <w:rsid w:val="00102792"/>
    <w:rsid w:val="00103B62"/>
    <w:rsid w:val="00105004"/>
    <w:rsid w:val="001050D4"/>
    <w:rsid w:val="00110C75"/>
    <w:rsid w:val="0011206B"/>
    <w:rsid w:val="00113154"/>
    <w:rsid w:val="00113E2B"/>
    <w:rsid w:val="00115FCA"/>
    <w:rsid w:val="0011709D"/>
    <w:rsid w:val="00117130"/>
    <w:rsid w:val="001175A5"/>
    <w:rsid w:val="001176C9"/>
    <w:rsid w:val="00117814"/>
    <w:rsid w:val="00120A2C"/>
    <w:rsid w:val="00122363"/>
    <w:rsid w:val="0012247B"/>
    <w:rsid w:val="001246F1"/>
    <w:rsid w:val="00124C11"/>
    <w:rsid w:val="00125307"/>
    <w:rsid w:val="00126CA6"/>
    <w:rsid w:val="00127693"/>
    <w:rsid w:val="0013085F"/>
    <w:rsid w:val="00131698"/>
    <w:rsid w:val="00131C6C"/>
    <w:rsid w:val="00131EC2"/>
    <w:rsid w:val="00132535"/>
    <w:rsid w:val="0013257C"/>
    <w:rsid w:val="00133724"/>
    <w:rsid w:val="00133D02"/>
    <w:rsid w:val="00135CDB"/>
    <w:rsid w:val="00136166"/>
    <w:rsid w:val="00136A48"/>
    <w:rsid w:val="00143C0D"/>
    <w:rsid w:val="00144004"/>
    <w:rsid w:val="00147E57"/>
    <w:rsid w:val="00150110"/>
    <w:rsid w:val="00153577"/>
    <w:rsid w:val="0015678D"/>
    <w:rsid w:val="00156A61"/>
    <w:rsid w:val="0015762F"/>
    <w:rsid w:val="00160212"/>
    <w:rsid w:val="00160B89"/>
    <w:rsid w:val="00160E60"/>
    <w:rsid w:val="00165662"/>
    <w:rsid w:val="001658A5"/>
    <w:rsid w:val="00165BAC"/>
    <w:rsid w:val="00165FA4"/>
    <w:rsid w:val="00170529"/>
    <w:rsid w:val="00173380"/>
    <w:rsid w:val="00173927"/>
    <w:rsid w:val="001766BD"/>
    <w:rsid w:val="00176772"/>
    <w:rsid w:val="0017720C"/>
    <w:rsid w:val="00181010"/>
    <w:rsid w:val="00182329"/>
    <w:rsid w:val="0018264A"/>
    <w:rsid w:val="0018273E"/>
    <w:rsid w:val="00184EC9"/>
    <w:rsid w:val="00185669"/>
    <w:rsid w:val="00186DEB"/>
    <w:rsid w:val="00187867"/>
    <w:rsid w:val="00190131"/>
    <w:rsid w:val="00190513"/>
    <w:rsid w:val="001914CC"/>
    <w:rsid w:val="00191907"/>
    <w:rsid w:val="00191AA7"/>
    <w:rsid w:val="0019230D"/>
    <w:rsid w:val="001923FE"/>
    <w:rsid w:val="00194311"/>
    <w:rsid w:val="00194907"/>
    <w:rsid w:val="001950AD"/>
    <w:rsid w:val="001A0473"/>
    <w:rsid w:val="001A1ECF"/>
    <w:rsid w:val="001A2352"/>
    <w:rsid w:val="001A23FC"/>
    <w:rsid w:val="001A2E20"/>
    <w:rsid w:val="001A3924"/>
    <w:rsid w:val="001A3E3C"/>
    <w:rsid w:val="001A4092"/>
    <w:rsid w:val="001A444C"/>
    <w:rsid w:val="001A51FE"/>
    <w:rsid w:val="001B0D5D"/>
    <w:rsid w:val="001B0E2F"/>
    <w:rsid w:val="001B497F"/>
    <w:rsid w:val="001B4A2A"/>
    <w:rsid w:val="001B5D4A"/>
    <w:rsid w:val="001B6FBA"/>
    <w:rsid w:val="001B725E"/>
    <w:rsid w:val="001B784A"/>
    <w:rsid w:val="001C4A7E"/>
    <w:rsid w:val="001C4AC6"/>
    <w:rsid w:val="001C4C02"/>
    <w:rsid w:val="001C5000"/>
    <w:rsid w:val="001C6156"/>
    <w:rsid w:val="001C6E39"/>
    <w:rsid w:val="001C7A41"/>
    <w:rsid w:val="001C7CC1"/>
    <w:rsid w:val="001D05FE"/>
    <w:rsid w:val="001D0876"/>
    <w:rsid w:val="001D1627"/>
    <w:rsid w:val="001D2095"/>
    <w:rsid w:val="001D242A"/>
    <w:rsid w:val="001D2CBE"/>
    <w:rsid w:val="001D3525"/>
    <w:rsid w:val="001D3725"/>
    <w:rsid w:val="001D48B5"/>
    <w:rsid w:val="001D4BB5"/>
    <w:rsid w:val="001D5300"/>
    <w:rsid w:val="001D5665"/>
    <w:rsid w:val="001D56B5"/>
    <w:rsid w:val="001D5CDE"/>
    <w:rsid w:val="001D69C2"/>
    <w:rsid w:val="001E1145"/>
    <w:rsid w:val="001E3265"/>
    <w:rsid w:val="001E3C26"/>
    <w:rsid w:val="001E3E47"/>
    <w:rsid w:val="001E696A"/>
    <w:rsid w:val="001E6E49"/>
    <w:rsid w:val="001F0732"/>
    <w:rsid w:val="001F0BA6"/>
    <w:rsid w:val="001F0D15"/>
    <w:rsid w:val="001F29F0"/>
    <w:rsid w:val="001F35C2"/>
    <w:rsid w:val="001F37FA"/>
    <w:rsid w:val="001F4AC5"/>
    <w:rsid w:val="001F4DB1"/>
    <w:rsid w:val="001F586A"/>
    <w:rsid w:val="001F5A8D"/>
    <w:rsid w:val="001F66A9"/>
    <w:rsid w:val="00200182"/>
    <w:rsid w:val="00202B52"/>
    <w:rsid w:val="002030CE"/>
    <w:rsid w:val="00203BB4"/>
    <w:rsid w:val="002045AD"/>
    <w:rsid w:val="002045CD"/>
    <w:rsid w:val="0020517D"/>
    <w:rsid w:val="0020570E"/>
    <w:rsid w:val="002061AF"/>
    <w:rsid w:val="0020663D"/>
    <w:rsid w:val="002067AE"/>
    <w:rsid w:val="002071E0"/>
    <w:rsid w:val="00207BBE"/>
    <w:rsid w:val="002106ED"/>
    <w:rsid w:val="0021118F"/>
    <w:rsid w:val="0021191F"/>
    <w:rsid w:val="00212B0E"/>
    <w:rsid w:val="00212FED"/>
    <w:rsid w:val="00214BF6"/>
    <w:rsid w:val="00215B52"/>
    <w:rsid w:val="00217499"/>
    <w:rsid w:val="002207B2"/>
    <w:rsid w:val="00224392"/>
    <w:rsid w:val="002259E5"/>
    <w:rsid w:val="00226117"/>
    <w:rsid w:val="00230355"/>
    <w:rsid w:val="00232B2C"/>
    <w:rsid w:val="0023392D"/>
    <w:rsid w:val="00234370"/>
    <w:rsid w:val="002345DF"/>
    <w:rsid w:val="0023509A"/>
    <w:rsid w:val="00236053"/>
    <w:rsid w:val="002360B9"/>
    <w:rsid w:val="00236136"/>
    <w:rsid w:val="0023654B"/>
    <w:rsid w:val="00236BD4"/>
    <w:rsid w:val="00237B40"/>
    <w:rsid w:val="002422D1"/>
    <w:rsid w:val="00242A67"/>
    <w:rsid w:val="00243BAE"/>
    <w:rsid w:val="00244A21"/>
    <w:rsid w:val="0024617D"/>
    <w:rsid w:val="00247837"/>
    <w:rsid w:val="00250EED"/>
    <w:rsid w:val="0025123E"/>
    <w:rsid w:val="00251481"/>
    <w:rsid w:val="00251540"/>
    <w:rsid w:val="00251C1B"/>
    <w:rsid w:val="002541D8"/>
    <w:rsid w:val="00255BD1"/>
    <w:rsid w:val="00260CCF"/>
    <w:rsid w:val="002613D5"/>
    <w:rsid w:val="00261A9F"/>
    <w:rsid w:val="00261D48"/>
    <w:rsid w:val="00261FA2"/>
    <w:rsid w:val="00262EBB"/>
    <w:rsid w:val="00263CDD"/>
    <w:rsid w:val="002644A8"/>
    <w:rsid w:val="002652C6"/>
    <w:rsid w:val="002658D6"/>
    <w:rsid w:val="002675CD"/>
    <w:rsid w:val="00270854"/>
    <w:rsid w:val="00270FF9"/>
    <w:rsid w:val="00273856"/>
    <w:rsid w:val="00274546"/>
    <w:rsid w:val="002745E6"/>
    <w:rsid w:val="00274F9F"/>
    <w:rsid w:val="00275704"/>
    <w:rsid w:val="00280CA6"/>
    <w:rsid w:val="00281D5F"/>
    <w:rsid w:val="00282DE8"/>
    <w:rsid w:val="00283010"/>
    <w:rsid w:val="00285D8B"/>
    <w:rsid w:val="00286B89"/>
    <w:rsid w:val="00287C01"/>
    <w:rsid w:val="002904BF"/>
    <w:rsid w:val="00291EFC"/>
    <w:rsid w:val="00291FBC"/>
    <w:rsid w:val="00292E26"/>
    <w:rsid w:val="0029401F"/>
    <w:rsid w:val="002947AF"/>
    <w:rsid w:val="00294A48"/>
    <w:rsid w:val="00295A2D"/>
    <w:rsid w:val="00295E7B"/>
    <w:rsid w:val="00297003"/>
    <w:rsid w:val="002A07EE"/>
    <w:rsid w:val="002A0A80"/>
    <w:rsid w:val="002A1B97"/>
    <w:rsid w:val="002A3AD0"/>
    <w:rsid w:val="002A5578"/>
    <w:rsid w:val="002A5ACE"/>
    <w:rsid w:val="002A67D8"/>
    <w:rsid w:val="002A6F3F"/>
    <w:rsid w:val="002A73C3"/>
    <w:rsid w:val="002A7782"/>
    <w:rsid w:val="002A7A47"/>
    <w:rsid w:val="002B0A37"/>
    <w:rsid w:val="002B169E"/>
    <w:rsid w:val="002B1C49"/>
    <w:rsid w:val="002B6056"/>
    <w:rsid w:val="002B6112"/>
    <w:rsid w:val="002B7035"/>
    <w:rsid w:val="002C0DB8"/>
    <w:rsid w:val="002C0E0D"/>
    <w:rsid w:val="002C1CCF"/>
    <w:rsid w:val="002C3C9B"/>
    <w:rsid w:val="002C423C"/>
    <w:rsid w:val="002C6C02"/>
    <w:rsid w:val="002C78EC"/>
    <w:rsid w:val="002D4176"/>
    <w:rsid w:val="002D432F"/>
    <w:rsid w:val="002D5EE2"/>
    <w:rsid w:val="002D5FC4"/>
    <w:rsid w:val="002D6067"/>
    <w:rsid w:val="002D64AE"/>
    <w:rsid w:val="002D67BD"/>
    <w:rsid w:val="002D7184"/>
    <w:rsid w:val="002E1BA6"/>
    <w:rsid w:val="002E1BEB"/>
    <w:rsid w:val="002E3BFE"/>
    <w:rsid w:val="002E3FA7"/>
    <w:rsid w:val="002E4284"/>
    <w:rsid w:val="002E466D"/>
    <w:rsid w:val="002E5BED"/>
    <w:rsid w:val="002E6C9E"/>
    <w:rsid w:val="002F060A"/>
    <w:rsid w:val="002F09A9"/>
    <w:rsid w:val="002F0B30"/>
    <w:rsid w:val="002F12FD"/>
    <w:rsid w:val="002F2A65"/>
    <w:rsid w:val="002F4DA3"/>
    <w:rsid w:val="002F4F12"/>
    <w:rsid w:val="002F74D8"/>
    <w:rsid w:val="002F7A2F"/>
    <w:rsid w:val="002F7A5A"/>
    <w:rsid w:val="002F7E41"/>
    <w:rsid w:val="00300E37"/>
    <w:rsid w:val="003021A1"/>
    <w:rsid w:val="00302C26"/>
    <w:rsid w:val="003032C4"/>
    <w:rsid w:val="00303BAA"/>
    <w:rsid w:val="0030460B"/>
    <w:rsid w:val="00304679"/>
    <w:rsid w:val="00306036"/>
    <w:rsid w:val="00306AB3"/>
    <w:rsid w:val="00310254"/>
    <w:rsid w:val="00310608"/>
    <w:rsid w:val="00310D63"/>
    <w:rsid w:val="00310EDC"/>
    <w:rsid w:val="00312933"/>
    <w:rsid w:val="00313713"/>
    <w:rsid w:val="003148F6"/>
    <w:rsid w:val="0031512C"/>
    <w:rsid w:val="003155DE"/>
    <w:rsid w:val="003164BD"/>
    <w:rsid w:val="0031660A"/>
    <w:rsid w:val="00322E5F"/>
    <w:rsid w:val="00323CCF"/>
    <w:rsid w:val="0032581F"/>
    <w:rsid w:val="00326AC1"/>
    <w:rsid w:val="0032766B"/>
    <w:rsid w:val="0032796C"/>
    <w:rsid w:val="0033001E"/>
    <w:rsid w:val="00330C4F"/>
    <w:rsid w:val="00330ECD"/>
    <w:rsid w:val="00334352"/>
    <w:rsid w:val="003347E0"/>
    <w:rsid w:val="00337330"/>
    <w:rsid w:val="00340CF9"/>
    <w:rsid w:val="00340E01"/>
    <w:rsid w:val="00341E33"/>
    <w:rsid w:val="00342100"/>
    <w:rsid w:val="003452FA"/>
    <w:rsid w:val="00346D16"/>
    <w:rsid w:val="00347A94"/>
    <w:rsid w:val="003510B0"/>
    <w:rsid w:val="0035142B"/>
    <w:rsid w:val="00351CEF"/>
    <w:rsid w:val="00351F41"/>
    <w:rsid w:val="00351FF8"/>
    <w:rsid w:val="00352146"/>
    <w:rsid w:val="00353C0D"/>
    <w:rsid w:val="00353EEA"/>
    <w:rsid w:val="00354C92"/>
    <w:rsid w:val="00356434"/>
    <w:rsid w:val="003565B4"/>
    <w:rsid w:val="003617E1"/>
    <w:rsid w:val="00361A28"/>
    <w:rsid w:val="00361D1C"/>
    <w:rsid w:val="00363985"/>
    <w:rsid w:val="00364F46"/>
    <w:rsid w:val="00365A78"/>
    <w:rsid w:val="00366130"/>
    <w:rsid w:val="00366B68"/>
    <w:rsid w:val="00366DE0"/>
    <w:rsid w:val="00367B4F"/>
    <w:rsid w:val="00370140"/>
    <w:rsid w:val="0037076D"/>
    <w:rsid w:val="003711E2"/>
    <w:rsid w:val="00375A81"/>
    <w:rsid w:val="00376F3A"/>
    <w:rsid w:val="00377341"/>
    <w:rsid w:val="00377686"/>
    <w:rsid w:val="003817CA"/>
    <w:rsid w:val="00381830"/>
    <w:rsid w:val="00382A9B"/>
    <w:rsid w:val="00384AD6"/>
    <w:rsid w:val="003862D3"/>
    <w:rsid w:val="003911E6"/>
    <w:rsid w:val="003927E8"/>
    <w:rsid w:val="00394249"/>
    <w:rsid w:val="00394D04"/>
    <w:rsid w:val="00396EEB"/>
    <w:rsid w:val="003974C7"/>
    <w:rsid w:val="0039752B"/>
    <w:rsid w:val="003A0C38"/>
    <w:rsid w:val="003A20D4"/>
    <w:rsid w:val="003A3E32"/>
    <w:rsid w:val="003A3FE4"/>
    <w:rsid w:val="003A40B7"/>
    <w:rsid w:val="003A446D"/>
    <w:rsid w:val="003A53D5"/>
    <w:rsid w:val="003A6D9D"/>
    <w:rsid w:val="003A7D83"/>
    <w:rsid w:val="003B00BA"/>
    <w:rsid w:val="003B0978"/>
    <w:rsid w:val="003B2277"/>
    <w:rsid w:val="003B2448"/>
    <w:rsid w:val="003B352A"/>
    <w:rsid w:val="003B37CC"/>
    <w:rsid w:val="003B50FB"/>
    <w:rsid w:val="003B52D9"/>
    <w:rsid w:val="003B6E42"/>
    <w:rsid w:val="003B7AD2"/>
    <w:rsid w:val="003C065C"/>
    <w:rsid w:val="003C37ED"/>
    <w:rsid w:val="003C3F7A"/>
    <w:rsid w:val="003C46CE"/>
    <w:rsid w:val="003C4F9F"/>
    <w:rsid w:val="003C7254"/>
    <w:rsid w:val="003C7E4C"/>
    <w:rsid w:val="003D14FB"/>
    <w:rsid w:val="003D2CB5"/>
    <w:rsid w:val="003D2F05"/>
    <w:rsid w:val="003D43A5"/>
    <w:rsid w:val="003D48F0"/>
    <w:rsid w:val="003D5D0E"/>
    <w:rsid w:val="003D7212"/>
    <w:rsid w:val="003E06EE"/>
    <w:rsid w:val="003E0A82"/>
    <w:rsid w:val="003E1380"/>
    <w:rsid w:val="003E2B2A"/>
    <w:rsid w:val="003E323D"/>
    <w:rsid w:val="003E45EC"/>
    <w:rsid w:val="003E5316"/>
    <w:rsid w:val="003E56A5"/>
    <w:rsid w:val="003F0B25"/>
    <w:rsid w:val="003F1A9B"/>
    <w:rsid w:val="003F1ABE"/>
    <w:rsid w:val="003F25ED"/>
    <w:rsid w:val="003F405E"/>
    <w:rsid w:val="003F4E45"/>
    <w:rsid w:val="003F6499"/>
    <w:rsid w:val="0040156E"/>
    <w:rsid w:val="0040443A"/>
    <w:rsid w:val="00405DA7"/>
    <w:rsid w:val="0040615F"/>
    <w:rsid w:val="00407890"/>
    <w:rsid w:val="00407D1A"/>
    <w:rsid w:val="004100B8"/>
    <w:rsid w:val="004115DF"/>
    <w:rsid w:val="00412401"/>
    <w:rsid w:val="004133D0"/>
    <w:rsid w:val="00413AF5"/>
    <w:rsid w:val="00413B9F"/>
    <w:rsid w:val="00413DA9"/>
    <w:rsid w:val="00416889"/>
    <w:rsid w:val="004177C8"/>
    <w:rsid w:val="00422A46"/>
    <w:rsid w:val="0042320E"/>
    <w:rsid w:val="00423642"/>
    <w:rsid w:val="004251C1"/>
    <w:rsid w:val="0042739D"/>
    <w:rsid w:val="00427800"/>
    <w:rsid w:val="00427BCC"/>
    <w:rsid w:val="0043145B"/>
    <w:rsid w:val="00432580"/>
    <w:rsid w:val="00433FCA"/>
    <w:rsid w:val="0043538C"/>
    <w:rsid w:val="00435A0E"/>
    <w:rsid w:val="00435FF3"/>
    <w:rsid w:val="00443C1A"/>
    <w:rsid w:val="00443FAB"/>
    <w:rsid w:val="004446F0"/>
    <w:rsid w:val="0044478A"/>
    <w:rsid w:val="004448D5"/>
    <w:rsid w:val="00444DA7"/>
    <w:rsid w:val="00445663"/>
    <w:rsid w:val="0044611F"/>
    <w:rsid w:val="0044612A"/>
    <w:rsid w:val="00446F6F"/>
    <w:rsid w:val="00451346"/>
    <w:rsid w:val="00451A84"/>
    <w:rsid w:val="00453DFC"/>
    <w:rsid w:val="004551B7"/>
    <w:rsid w:val="00455435"/>
    <w:rsid w:val="00456415"/>
    <w:rsid w:val="004569C9"/>
    <w:rsid w:val="0045715A"/>
    <w:rsid w:val="004622D1"/>
    <w:rsid w:val="00463AC1"/>
    <w:rsid w:val="0046623B"/>
    <w:rsid w:val="0046649D"/>
    <w:rsid w:val="004673B1"/>
    <w:rsid w:val="0047034D"/>
    <w:rsid w:val="00470B35"/>
    <w:rsid w:val="004712F2"/>
    <w:rsid w:val="00471939"/>
    <w:rsid w:val="00473CC3"/>
    <w:rsid w:val="00473F3E"/>
    <w:rsid w:val="00474F85"/>
    <w:rsid w:val="00476859"/>
    <w:rsid w:val="004807FD"/>
    <w:rsid w:val="00480AAA"/>
    <w:rsid w:val="00481E15"/>
    <w:rsid w:val="00485F32"/>
    <w:rsid w:val="004871BA"/>
    <w:rsid w:val="00491C31"/>
    <w:rsid w:val="0049385B"/>
    <w:rsid w:val="00494198"/>
    <w:rsid w:val="0049474E"/>
    <w:rsid w:val="004948DA"/>
    <w:rsid w:val="004955C8"/>
    <w:rsid w:val="004974DE"/>
    <w:rsid w:val="004977F0"/>
    <w:rsid w:val="004A00AA"/>
    <w:rsid w:val="004A2662"/>
    <w:rsid w:val="004A67AA"/>
    <w:rsid w:val="004A6834"/>
    <w:rsid w:val="004B1226"/>
    <w:rsid w:val="004B143B"/>
    <w:rsid w:val="004B1676"/>
    <w:rsid w:val="004B3749"/>
    <w:rsid w:val="004B375F"/>
    <w:rsid w:val="004C1E60"/>
    <w:rsid w:val="004C4B9D"/>
    <w:rsid w:val="004C4C33"/>
    <w:rsid w:val="004D05CE"/>
    <w:rsid w:val="004D14FE"/>
    <w:rsid w:val="004D2334"/>
    <w:rsid w:val="004D385C"/>
    <w:rsid w:val="004E32DC"/>
    <w:rsid w:val="004E4F03"/>
    <w:rsid w:val="004E59AB"/>
    <w:rsid w:val="004E6F9A"/>
    <w:rsid w:val="004F107E"/>
    <w:rsid w:val="004F2310"/>
    <w:rsid w:val="004F27AE"/>
    <w:rsid w:val="004F3396"/>
    <w:rsid w:val="004F3462"/>
    <w:rsid w:val="004F3C71"/>
    <w:rsid w:val="004F4526"/>
    <w:rsid w:val="004F6427"/>
    <w:rsid w:val="004F6F5D"/>
    <w:rsid w:val="004F789D"/>
    <w:rsid w:val="00501848"/>
    <w:rsid w:val="00501DC3"/>
    <w:rsid w:val="0050337D"/>
    <w:rsid w:val="00503F3F"/>
    <w:rsid w:val="0050420A"/>
    <w:rsid w:val="00505BB8"/>
    <w:rsid w:val="005062D4"/>
    <w:rsid w:val="005071A1"/>
    <w:rsid w:val="005076C4"/>
    <w:rsid w:val="005126D5"/>
    <w:rsid w:val="00514378"/>
    <w:rsid w:val="00514984"/>
    <w:rsid w:val="005174BE"/>
    <w:rsid w:val="00521549"/>
    <w:rsid w:val="00521F4F"/>
    <w:rsid w:val="005234AF"/>
    <w:rsid w:val="0052404E"/>
    <w:rsid w:val="005245EE"/>
    <w:rsid w:val="0052461F"/>
    <w:rsid w:val="005279E3"/>
    <w:rsid w:val="00530359"/>
    <w:rsid w:val="00531213"/>
    <w:rsid w:val="005324B8"/>
    <w:rsid w:val="005348FB"/>
    <w:rsid w:val="00535651"/>
    <w:rsid w:val="00535994"/>
    <w:rsid w:val="00535FD1"/>
    <w:rsid w:val="005366B0"/>
    <w:rsid w:val="005374AD"/>
    <w:rsid w:val="0053778E"/>
    <w:rsid w:val="00540DC6"/>
    <w:rsid w:val="00542D8E"/>
    <w:rsid w:val="00543888"/>
    <w:rsid w:val="005439D4"/>
    <w:rsid w:val="00543CFC"/>
    <w:rsid w:val="005464F6"/>
    <w:rsid w:val="00546540"/>
    <w:rsid w:val="0054759A"/>
    <w:rsid w:val="00550DC0"/>
    <w:rsid w:val="0055247C"/>
    <w:rsid w:val="00552B1C"/>
    <w:rsid w:val="005535B6"/>
    <w:rsid w:val="0055393B"/>
    <w:rsid w:val="00553AA1"/>
    <w:rsid w:val="0055431D"/>
    <w:rsid w:val="005546BE"/>
    <w:rsid w:val="00556B02"/>
    <w:rsid w:val="00557AA4"/>
    <w:rsid w:val="005620C1"/>
    <w:rsid w:val="0056289A"/>
    <w:rsid w:val="005643B1"/>
    <w:rsid w:val="00566C84"/>
    <w:rsid w:val="00566E04"/>
    <w:rsid w:val="005671CF"/>
    <w:rsid w:val="00571260"/>
    <w:rsid w:val="005726E2"/>
    <w:rsid w:val="00572C78"/>
    <w:rsid w:val="005730E2"/>
    <w:rsid w:val="005735B5"/>
    <w:rsid w:val="00573E6C"/>
    <w:rsid w:val="005740BC"/>
    <w:rsid w:val="00574DA7"/>
    <w:rsid w:val="00574FC8"/>
    <w:rsid w:val="00576E76"/>
    <w:rsid w:val="00577226"/>
    <w:rsid w:val="0057770F"/>
    <w:rsid w:val="00577762"/>
    <w:rsid w:val="0058124A"/>
    <w:rsid w:val="005814AE"/>
    <w:rsid w:val="005842C2"/>
    <w:rsid w:val="005844EE"/>
    <w:rsid w:val="005861F6"/>
    <w:rsid w:val="005868B3"/>
    <w:rsid w:val="005874A8"/>
    <w:rsid w:val="00590BE3"/>
    <w:rsid w:val="0059103B"/>
    <w:rsid w:val="005914B3"/>
    <w:rsid w:val="00592184"/>
    <w:rsid w:val="00594CE9"/>
    <w:rsid w:val="005958E2"/>
    <w:rsid w:val="0059592F"/>
    <w:rsid w:val="00595B72"/>
    <w:rsid w:val="005969EA"/>
    <w:rsid w:val="00596AF4"/>
    <w:rsid w:val="005A0430"/>
    <w:rsid w:val="005A1002"/>
    <w:rsid w:val="005A1AC5"/>
    <w:rsid w:val="005A2E6C"/>
    <w:rsid w:val="005A4B5A"/>
    <w:rsid w:val="005A4D23"/>
    <w:rsid w:val="005A7F7A"/>
    <w:rsid w:val="005A7F9A"/>
    <w:rsid w:val="005B0158"/>
    <w:rsid w:val="005B03FD"/>
    <w:rsid w:val="005B11F1"/>
    <w:rsid w:val="005B1449"/>
    <w:rsid w:val="005B1D0F"/>
    <w:rsid w:val="005B2A9E"/>
    <w:rsid w:val="005B4438"/>
    <w:rsid w:val="005B45E5"/>
    <w:rsid w:val="005B4655"/>
    <w:rsid w:val="005B641C"/>
    <w:rsid w:val="005B67EA"/>
    <w:rsid w:val="005B6939"/>
    <w:rsid w:val="005C0F02"/>
    <w:rsid w:val="005C1693"/>
    <w:rsid w:val="005C3571"/>
    <w:rsid w:val="005C5FDA"/>
    <w:rsid w:val="005C664A"/>
    <w:rsid w:val="005C7609"/>
    <w:rsid w:val="005D25D7"/>
    <w:rsid w:val="005D3959"/>
    <w:rsid w:val="005D3BF3"/>
    <w:rsid w:val="005D493B"/>
    <w:rsid w:val="005D4B12"/>
    <w:rsid w:val="005D59C3"/>
    <w:rsid w:val="005D5BA7"/>
    <w:rsid w:val="005E0440"/>
    <w:rsid w:val="005E05B9"/>
    <w:rsid w:val="005E0B91"/>
    <w:rsid w:val="005E3FBD"/>
    <w:rsid w:val="005E4314"/>
    <w:rsid w:val="005E7D66"/>
    <w:rsid w:val="005F087C"/>
    <w:rsid w:val="005F0E66"/>
    <w:rsid w:val="005F2731"/>
    <w:rsid w:val="005F2DF4"/>
    <w:rsid w:val="005F39F0"/>
    <w:rsid w:val="005F3A44"/>
    <w:rsid w:val="005F4CBA"/>
    <w:rsid w:val="005F4DBF"/>
    <w:rsid w:val="005F500B"/>
    <w:rsid w:val="005F5CA8"/>
    <w:rsid w:val="005F6652"/>
    <w:rsid w:val="005F7CFF"/>
    <w:rsid w:val="005F7F3D"/>
    <w:rsid w:val="00603B66"/>
    <w:rsid w:val="006040EA"/>
    <w:rsid w:val="006048DA"/>
    <w:rsid w:val="0060493B"/>
    <w:rsid w:val="00610241"/>
    <w:rsid w:val="00611151"/>
    <w:rsid w:val="006139C9"/>
    <w:rsid w:val="00617938"/>
    <w:rsid w:val="00617C98"/>
    <w:rsid w:val="00620414"/>
    <w:rsid w:val="0062114D"/>
    <w:rsid w:val="006240C3"/>
    <w:rsid w:val="0062582E"/>
    <w:rsid w:val="00626240"/>
    <w:rsid w:val="006265DD"/>
    <w:rsid w:val="00626DB0"/>
    <w:rsid w:val="00627298"/>
    <w:rsid w:val="00627A32"/>
    <w:rsid w:val="0063085E"/>
    <w:rsid w:val="00630E6F"/>
    <w:rsid w:val="00631676"/>
    <w:rsid w:val="006321F1"/>
    <w:rsid w:val="006323D9"/>
    <w:rsid w:val="00634810"/>
    <w:rsid w:val="006350E9"/>
    <w:rsid w:val="00636DBC"/>
    <w:rsid w:val="00636F65"/>
    <w:rsid w:val="0063768B"/>
    <w:rsid w:val="00637B42"/>
    <w:rsid w:val="00637EBC"/>
    <w:rsid w:val="00640D21"/>
    <w:rsid w:val="00641482"/>
    <w:rsid w:val="00641CF6"/>
    <w:rsid w:val="00642BAB"/>
    <w:rsid w:val="00644F77"/>
    <w:rsid w:val="00646448"/>
    <w:rsid w:val="00646571"/>
    <w:rsid w:val="00646854"/>
    <w:rsid w:val="006505FC"/>
    <w:rsid w:val="00650BE3"/>
    <w:rsid w:val="00651E88"/>
    <w:rsid w:val="006524EB"/>
    <w:rsid w:val="00652F60"/>
    <w:rsid w:val="00654BA1"/>
    <w:rsid w:val="0065793A"/>
    <w:rsid w:val="006608F0"/>
    <w:rsid w:val="00661505"/>
    <w:rsid w:val="006615EC"/>
    <w:rsid w:val="00661F14"/>
    <w:rsid w:val="006621DD"/>
    <w:rsid w:val="00662F2C"/>
    <w:rsid w:val="006634DB"/>
    <w:rsid w:val="00664470"/>
    <w:rsid w:val="00666F49"/>
    <w:rsid w:val="00667E95"/>
    <w:rsid w:val="006707C9"/>
    <w:rsid w:val="00671347"/>
    <w:rsid w:val="00672110"/>
    <w:rsid w:val="00672B1D"/>
    <w:rsid w:val="006762A6"/>
    <w:rsid w:val="00676723"/>
    <w:rsid w:val="0068074A"/>
    <w:rsid w:val="00680AA3"/>
    <w:rsid w:val="00683B1E"/>
    <w:rsid w:val="0068597C"/>
    <w:rsid w:val="0068750F"/>
    <w:rsid w:val="00687A64"/>
    <w:rsid w:val="0069002E"/>
    <w:rsid w:val="006906B5"/>
    <w:rsid w:val="00691A2A"/>
    <w:rsid w:val="00691B79"/>
    <w:rsid w:val="00691DC6"/>
    <w:rsid w:val="00694034"/>
    <w:rsid w:val="00695132"/>
    <w:rsid w:val="00696387"/>
    <w:rsid w:val="0069712B"/>
    <w:rsid w:val="0069775F"/>
    <w:rsid w:val="00697D5C"/>
    <w:rsid w:val="006A6AA6"/>
    <w:rsid w:val="006A7E51"/>
    <w:rsid w:val="006A7E87"/>
    <w:rsid w:val="006B1034"/>
    <w:rsid w:val="006B1328"/>
    <w:rsid w:val="006B2A9F"/>
    <w:rsid w:val="006B3A65"/>
    <w:rsid w:val="006B3B46"/>
    <w:rsid w:val="006B4E07"/>
    <w:rsid w:val="006B57C8"/>
    <w:rsid w:val="006B6710"/>
    <w:rsid w:val="006B7195"/>
    <w:rsid w:val="006B7C04"/>
    <w:rsid w:val="006C10EB"/>
    <w:rsid w:val="006C2BB6"/>
    <w:rsid w:val="006C489D"/>
    <w:rsid w:val="006C496B"/>
    <w:rsid w:val="006C6C19"/>
    <w:rsid w:val="006C6CBC"/>
    <w:rsid w:val="006C735F"/>
    <w:rsid w:val="006D0BAB"/>
    <w:rsid w:val="006D173E"/>
    <w:rsid w:val="006D20EB"/>
    <w:rsid w:val="006D2207"/>
    <w:rsid w:val="006D31C5"/>
    <w:rsid w:val="006D3288"/>
    <w:rsid w:val="006D4B11"/>
    <w:rsid w:val="006D5D29"/>
    <w:rsid w:val="006D5F7E"/>
    <w:rsid w:val="006D7316"/>
    <w:rsid w:val="006D73D3"/>
    <w:rsid w:val="006D7E78"/>
    <w:rsid w:val="006E27D7"/>
    <w:rsid w:val="006E2B1F"/>
    <w:rsid w:val="006E5A6D"/>
    <w:rsid w:val="006E6147"/>
    <w:rsid w:val="006F0F99"/>
    <w:rsid w:val="006F2330"/>
    <w:rsid w:val="006F34C8"/>
    <w:rsid w:val="006F3CAA"/>
    <w:rsid w:val="006F41CC"/>
    <w:rsid w:val="006F57C3"/>
    <w:rsid w:val="006F590A"/>
    <w:rsid w:val="006F5CD9"/>
    <w:rsid w:val="006F6A68"/>
    <w:rsid w:val="006F6E31"/>
    <w:rsid w:val="006F71F5"/>
    <w:rsid w:val="00700CA4"/>
    <w:rsid w:val="007024AE"/>
    <w:rsid w:val="00702FCF"/>
    <w:rsid w:val="00703823"/>
    <w:rsid w:val="0070420E"/>
    <w:rsid w:val="00704431"/>
    <w:rsid w:val="00706971"/>
    <w:rsid w:val="00707C44"/>
    <w:rsid w:val="00710887"/>
    <w:rsid w:val="00712337"/>
    <w:rsid w:val="00712E65"/>
    <w:rsid w:val="00713B89"/>
    <w:rsid w:val="0071483A"/>
    <w:rsid w:val="00715694"/>
    <w:rsid w:val="00716D6C"/>
    <w:rsid w:val="00717834"/>
    <w:rsid w:val="007218AB"/>
    <w:rsid w:val="00722A4D"/>
    <w:rsid w:val="007235E9"/>
    <w:rsid w:val="00724BD4"/>
    <w:rsid w:val="00724E01"/>
    <w:rsid w:val="007263C8"/>
    <w:rsid w:val="00727041"/>
    <w:rsid w:val="007308C8"/>
    <w:rsid w:val="00731FC9"/>
    <w:rsid w:val="007325F1"/>
    <w:rsid w:val="0073284C"/>
    <w:rsid w:val="0073483F"/>
    <w:rsid w:val="00735228"/>
    <w:rsid w:val="007361E1"/>
    <w:rsid w:val="0073730E"/>
    <w:rsid w:val="0074374B"/>
    <w:rsid w:val="00744990"/>
    <w:rsid w:val="00745893"/>
    <w:rsid w:val="00745DE0"/>
    <w:rsid w:val="00746335"/>
    <w:rsid w:val="007463F9"/>
    <w:rsid w:val="00746845"/>
    <w:rsid w:val="00751579"/>
    <w:rsid w:val="00753011"/>
    <w:rsid w:val="007531FD"/>
    <w:rsid w:val="00754699"/>
    <w:rsid w:val="00754942"/>
    <w:rsid w:val="00754EBF"/>
    <w:rsid w:val="00755B42"/>
    <w:rsid w:val="00755F37"/>
    <w:rsid w:val="00756D59"/>
    <w:rsid w:val="00757259"/>
    <w:rsid w:val="0076083C"/>
    <w:rsid w:val="00760F63"/>
    <w:rsid w:val="007612C8"/>
    <w:rsid w:val="00761BE9"/>
    <w:rsid w:val="00762489"/>
    <w:rsid w:val="0076391F"/>
    <w:rsid w:val="00765F25"/>
    <w:rsid w:val="00770A33"/>
    <w:rsid w:val="00770CFE"/>
    <w:rsid w:val="00770D87"/>
    <w:rsid w:val="00771286"/>
    <w:rsid w:val="007761FC"/>
    <w:rsid w:val="0077653F"/>
    <w:rsid w:val="00780734"/>
    <w:rsid w:val="007807F1"/>
    <w:rsid w:val="007811D0"/>
    <w:rsid w:val="0078174E"/>
    <w:rsid w:val="00781FD6"/>
    <w:rsid w:val="00783798"/>
    <w:rsid w:val="00784235"/>
    <w:rsid w:val="00785C58"/>
    <w:rsid w:val="007869B0"/>
    <w:rsid w:val="00786D47"/>
    <w:rsid w:val="00787DC4"/>
    <w:rsid w:val="00793719"/>
    <w:rsid w:val="00793D51"/>
    <w:rsid w:val="007942C0"/>
    <w:rsid w:val="007943EA"/>
    <w:rsid w:val="00794888"/>
    <w:rsid w:val="00794C19"/>
    <w:rsid w:val="00795E65"/>
    <w:rsid w:val="007A03DE"/>
    <w:rsid w:val="007A072C"/>
    <w:rsid w:val="007A17D2"/>
    <w:rsid w:val="007A34BC"/>
    <w:rsid w:val="007A3585"/>
    <w:rsid w:val="007A7B54"/>
    <w:rsid w:val="007A7DB0"/>
    <w:rsid w:val="007B109C"/>
    <w:rsid w:val="007B264A"/>
    <w:rsid w:val="007B2F34"/>
    <w:rsid w:val="007B3BB1"/>
    <w:rsid w:val="007B417A"/>
    <w:rsid w:val="007B5A24"/>
    <w:rsid w:val="007B7BF9"/>
    <w:rsid w:val="007C1B75"/>
    <w:rsid w:val="007C1FC2"/>
    <w:rsid w:val="007C2D0B"/>
    <w:rsid w:val="007C3C97"/>
    <w:rsid w:val="007C4C0F"/>
    <w:rsid w:val="007C6657"/>
    <w:rsid w:val="007C6C31"/>
    <w:rsid w:val="007C6CEE"/>
    <w:rsid w:val="007C6EDB"/>
    <w:rsid w:val="007C7BBD"/>
    <w:rsid w:val="007D25B6"/>
    <w:rsid w:val="007D3FB3"/>
    <w:rsid w:val="007D5006"/>
    <w:rsid w:val="007D53C1"/>
    <w:rsid w:val="007D652F"/>
    <w:rsid w:val="007D71DC"/>
    <w:rsid w:val="007D789A"/>
    <w:rsid w:val="007E0365"/>
    <w:rsid w:val="007E2415"/>
    <w:rsid w:val="007E3198"/>
    <w:rsid w:val="007E348A"/>
    <w:rsid w:val="007E4CF8"/>
    <w:rsid w:val="007E5A73"/>
    <w:rsid w:val="007E6575"/>
    <w:rsid w:val="007E6CEC"/>
    <w:rsid w:val="007E79BD"/>
    <w:rsid w:val="007E7A85"/>
    <w:rsid w:val="007F034B"/>
    <w:rsid w:val="007F0669"/>
    <w:rsid w:val="007F2566"/>
    <w:rsid w:val="007F43CB"/>
    <w:rsid w:val="007F6140"/>
    <w:rsid w:val="007F6A85"/>
    <w:rsid w:val="007F6D44"/>
    <w:rsid w:val="007F7155"/>
    <w:rsid w:val="007F71D1"/>
    <w:rsid w:val="0080081C"/>
    <w:rsid w:val="0080174C"/>
    <w:rsid w:val="00801BA4"/>
    <w:rsid w:val="008032AC"/>
    <w:rsid w:val="00807892"/>
    <w:rsid w:val="00807B82"/>
    <w:rsid w:val="00811849"/>
    <w:rsid w:val="0081416D"/>
    <w:rsid w:val="0081729B"/>
    <w:rsid w:val="0082131A"/>
    <w:rsid w:val="00822C04"/>
    <w:rsid w:val="00823314"/>
    <w:rsid w:val="00823CC4"/>
    <w:rsid w:val="00826685"/>
    <w:rsid w:val="00826A9D"/>
    <w:rsid w:val="008302E9"/>
    <w:rsid w:val="00830D63"/>
    <w:rsid w:val="00831393"/>
    <w:rsid w:val="00832161"/>
    <w:rsid w:val="00833BAC"/>
    <w:rsid w:val="008343EC"/>
    <w:rsid w:val="0083543C"/>
    <w:rsid w:val="00836D22"/>
    <w:rsid w:val="0084013A"/>
    <w:rsid w:val="00843415"/>
    <w:rsid w:val="00843726"/>
    <w:rsid w:val="00843F5F"/>
    <w:rsid w:val="00850AB7"/>
    <w:rsid w:val="00852519"/>
    <w:rsid w:val="00852601"/>
    <w:rsid w:val="00852674"/>
    <w:rsid w:val="00853BAD"/>
    <w:rsid w:val="0085411F"/>
    <w:rsid w:val="0085535D"/>
    <w:rsid w:val="00856881"/>
    <w:rsid w:val="00856C33"/>
    <w:rsid w:val="00856CDC"/>
    <w:rsid w:val="008608D6"/>
    <w:rsid w:val="008623B6"/>
    <w:rsid w:val="0086363D"/>
    <w:rsid w:val="00864AC7"/>
    <w:rsid w:val="00867737"/>
    <w:rsid w:val="008679C1"/>
    <w:rsid w:val="008703CA"/>
    <w:rsid w:val="00870EE7"/>
    <w:rsid w:val="00871A80"/>
    <w:rsid w:val="00871CF9"/>
    <w:rsid w:val="0087206A"/>
    <w:rsid w:val="00874901"/>
    <w:rsid w:val="00874A7F"/>
    <w:rsid w:val="0087509C"/>
    <w:rsid w:val="00875A4E"/>
    <w:rsid w:val="0088028A"/>
    <w:rsid w:val="00880F8A"/>
    <w:rsid w:val="008825BD"/>
    <w:rsid w:val="00882875"/>
    <w:rsid w:val="00883B97"/>
    <w:rsid w:val="008843E9"/>
    <w:rsid w:val="008858CC"/>
    <w:rsid w:val="0088603C"/>
    <w:rsid w:val="00886A16"/>
    <w:rsid w:val="00890164"/>
    <w:rsid w:val="008901C3"/>
    <w:rsid w:val="00893518"/>
    <w:rsid w:val="00894545"/>
    <w:rsid w:val="008947A8"/>
    <w:rsid w:val="00895DB6"/>
    <w:rsid w:val="00897857"/>
    <w:rsid w:val="008A0DD9"/>
    <w:rsid w:val="008A1B43"/>
    <w:rsid w:val="008A358D"/>
    <w:rsid w:val="008A42EC"/>
    <w:rsid w:val="008A4460"/>
    <w:rsid w:val="008A7AFE"/>
    <w:rsid w:val="008B1D4E"/>
    <w:rsid w:val="008B219F"/>
    <w:rsid w:val="008B2F5B"/>
    <w:rsid w:val="008B2F90"/>
    <w:rsid w:val="008B320A"/>
    <w:rsid w:val="008B4E20"/>
    <w:rsid w:val="008B5009"/>
    <w:rsid w:val="008B55A5"/>
    <w:rsid w:val="008B6B6E"/>
    <w:rsid w:val="008B7711"/>
    <w:rsid w:val="008C0616"/>
    <w:rsid w:val="008C1D82"/>
    <w:rsid w:val="008C2489"/>
    <w:rsid w:val="008C4D00"/>
    <w:rsid w:val="008C6575"/>
    <w:rsid w:val="008D0367"/>
    <w:rsid w:val="008D0EC7"/>
    <w:rsid w:val="008D4124"/>
    <w:rsid w:val="008D4A1F"/>
    <w:rsid w:val="008D4C17"/>
    <w:rsid w:val="008D5445"/>
    <w:rsid w:val="008D62D9"/>
    <w:rsid w:val="008D7234"/>
    <w:rsid w:val="008E048D"/>
    <w:rsid w:val="008E14F7"/>
    <w:rsid w:val="008E1E2E"/>
    <w:rsid w:val="008E3762"/>
    <w:rsid w:val="008E3C39"/>
    <w:rsid w:val="008E47B9"/>
    <w:rsid w:val="008E5487"/>
    <w:rsid w:val="008E55D8"/>
    <w:rsid w:val="008E5825"/>
    <w:rsid w:val="008E6333"/>
    <w:rsid w:val="008E7C4E"/>
    <w:rsid w:val="008F1180"/>
    <w:rsid w:val="008F2E1F"/>
    <w:rsid w:val="008F50A6"/>
    <w:rsid w:val="008F5526"/>
    <w:rsid w:val="008F75F9"/>
    <w:rsid w:val="008F7ED2"/>
    <w:rsid w:val="008F7F27"/>
    <w:rsid w:val="0090001D"/>
    <w:rsid w:val="00900080"/>
    <w:rsid w:val="00902F83"/>
    <w:rsid w:val="00903816"/>
    <w:rsid w:val="0090433D"/>
    <w:rsid w:val="00904669"/>
    <w:rsid w:val="00905816"/>
    <w:rsid w:val="00907E3F"/>
    <w:rsid w:val="00912572"/>
    <w:rsid w:val="00912A6C"/>
    <w:rsid w:val="0091309D"/>
    <w:rsid w:val="009153FB"/>
    <w:rsid w:val="009154A8"/>
    <w:rsid w:val="00916271"/>
    <w:rsid w:val="009171F3"/>
    <w:rsid w:val="009172AB"/>
    <w:rsid w:val="00917CF0"/>
    <w:rsid w:val="00917EDD"/>
    <w:rsid w:val="0092153F"/>
    <w:rsid w:val="00921AEE"/>
    <w:rsid w:val="0092481B"/>
    <w:rsid w:val="00924D8D"/>
    <w:rsid w:val="00925649"/>
    <w:rsid w:val="00926CA7"/>
    <w:rsid w:val="00926E3F"/>
    <w:rsid w:val="0092760C"/>
    <w:rsid w:val="009304DB"/>
    <w:rsid w:val="0093189A"/>
    <w:rsid w:val="0093388C"/>
    <w:rsid w:val="0093449E"/>
    <w:rsid w:val="00940103"/>
    <w:rsid w:val="00941108"/>
    <w:rsid w:val="00941E75"/>
    <w:rsid w:val="009426EF"/>
    <w:rsid w:val="009440CF"/>
    <w:rsid w:val="009460F1"/>
    <w:rsid w:val="009468F2"/>
    <w:rsid w:val="009510E0"/>
    <w:rsid w:val="00951568"/>
    <w:rsid w:val="0095184E"/>
    <w:rsid w:val="00951FBB"/>
    <w:rsid w:val="00952CAF"/>
    <w:rsid w:val="00953023"/>
    <w:rsid w:val="00953A48"/>
    <w:rsid w:val="00953B94"/>
    <w:rsid w:val="00957A6B"/>
    <w:rsid w:val="00960047"/>
    <w:rsid w:val="00961320"/>
    <w:rsid w:val="0096251D"/>
    <w:rsid w:val="0096460F"/>
    <w:rsid w:val="0096473C"/>
    <w:rsid w:val="00964CA9"/>
    <w:rsid w:val="00965AB8"/>
    <w:rsid w:val="00967854"/>
    <w:rsid w:val="00970DD6"/>
    <w:rsid w:val="00971098"/>
    <w:rsid w:val="0097112B"/>
    <w:rsid w:val="00971D1E"/>
    <w:rsid w:val="00972BCB"/>
    <w:rsid w:val="00973191"/>
    <w:rsid w:val="00973E85"/>
    <w:rsid w:val="00974340"/>
    <w:rsid w:val="00974560"/>
    <w:rsid w:val="0097503C"/>
    <w:rsid w:val="00975653"/>
    <w:rsid w:val="0097566E"/>
    <w:rsid w:val="00976899"/>
    <w:rsid w:val="00980330"/>
    <w:rsid w:val="00982074"/>
    <w:rsid w:val="0098291E"/>
    <w:rsid w:val="00982D80"/>
    <w:rsid w:val="009846B2"/>
    <w:rsid w:val="009902DD"/>
    <w:rsid w:val="0099239B"/>
    <w:rsid w:val="0099440D"/>
    <w:rsid w:val="00994793"/>
    <w:rsid w:val="00994E45"/>
    <w:rsid w:val="00997EE1"/>
    <w:rsid w:val="009A1F69"/>
    <w:rsid w:val="009A369C"/>
    <w:rsid w:val="009A3F11"/>
    <w:rsid w:val="009A4F41"/>
    <w:rsid w:val="009A587D"/>
    <w:rsid w:val="009A791C"/>
    <w:rsid w:val="009A7B7B"/>
    <w:rsid w:val="009B2088"/>
    <w:rsid w:val="009B47FE"/>
    <w:rsid w:val="009B4A50"/>
    <w:rsid w:val="009B7869"/>
    <w:rsid w:val="009C0239"/>
    <w:rsid w:val="009C0E02"/>
    <w:rsid w:val="009C3DF8"/>
    <w:rsid w:val="009C3FCD"/>
    <w:rsid w:val="009C43B1"/>
    <w:rsid w:val="009C5E58"/>
    <w:rsid w:val="009C66A8"/>
    <w:rsid w:val="009D0624"/>
    <w:rsid w:val="009D096E"/>
    <w:rsid w:val="009D21B5"/>
    <w:rsid w:val="009D279B"/>
    <w:rsid w:val="009D4DE8"/>
    <w:rsid w:val="009D5084"/>
    <w:rsid w:val="009D51BB"/>
    <w:rsid w:val="009D7DCA"/>
    <w:rsid w:val="009E05D4"/>
    <w:rsid w:val="009E2FF1"/>
    <w:rsid w:val="009E3D9B"/>
    <w:rsid w:val="009E40F1"/>
    <w:rsid w:val="009E4C43"/>
    <w:rsid w:val="009E67CB"/>
    <w:rsid w:val="009E695F"/>
    <w:rsid w:val="009F2DE5"/>
    <w:rsid w:val="009F418B"/>
    <w:rsid w:val="009F429C"/>
    <w:rsid w:val="009F59EE"/>
    <w:rsid w:val="009F5A46"/>
    <w:rsid w:val="009F61B5"/>
    <w:rsid w:val="009F7176"/>
    <w:rsid w:val="009F7715"/>
    <w:rsid w:val="009F7BE6"/>
    <w:rsid w:val="00A01958"/>
    <w:rsid w:val="00A0243B"/>
    <w:rsid w:val="00A033A8"/>
    <w:rsid w:val="00A06652"/>
    <w:rsid w:val="00A06D4E"/>
    <w:rsid w:val="00A119CB"/>
    <w:rsid w:val="00A12C80"/>
    <w:rsid w:val="00A13262"/>
    <w:rsid w:val="00A15083"/>
    <w:rsid w:val="00A2083E"/>
    <w:rsid w:val="00A23F93"/>
    <w:rsid w:val="00A251B7"/>
    <w:rsid w:val="00A25B25"/>
    <w:rsid w:val="00A2616D"/>
    <w:rsid w:val="00A262B2"/>
    <w:rsid w:val="00A30088"/>
    <w:rsid w:val="00A317E9"/>
    <w:rsid w:val="00A32F16"/>
    <w:rsid w:val="00A33820"/>
    <w:rsid w:val="00A356F6"/>
    <w:rsid w:val="00A36976"/>
    <w:rsid w:val="00A41FFD"/>
    <w:rsid w:val="00A44181"/>
    <w:rsid w:val="00A449A7"/>
    <w:rsid w:val="00A47E88"/>
    <w:rsid w:val="00A50537"/>
    <w:rsid w:val="00A50FF7"/>
    <w:rsid w:val="00A51ED5"/>
    <w:rsid w:val="00A523CA"/>
    <w:rsid w:val="00A540D8"/>
    <w:rsid w:val="00A54938"/>
    <w:rsid w:val="00A55FF4"/>
    <w:rsid w:val="00A5681A"/>
    <w:rsid w:val="00A609E2"/>
    <w:rsid w:val="00A61B3D"/>
    <w:rsid w:val="00A62B2F"/>
    <w:rsid w:val="00A62EF4"/>
    <w:rsid w:val="00A63E9F"/>
    <w:rsid w:val="00A66263"/>
    <w:rsid w:val="00A6634C"/>
    <w:rsid w:val="00A66A58"/>
    <w:rsid w:val="00A67C26"/>
    <w:rsid w:val="00A70BFD"/>
    <w:rsid w:val="00A71429"/>
    <w:rsid w:val="00A716BB"/>
    <w:rsid w:val="00A716DA"/>
    <w:rsid w:val="00A71907"/>
    <w:rsid w:val="00A7262E"/>
    <w:rsid w:val="00A7652F"/>
    <w:rsid w:val="00A77602"/>
    <w:rsid w:val="00A77C37"/>
    <w:rsid w:val="00A80D19"/>
    <w:rsid w:val="00A82822"/>
    <w:rsid w:val="00A86D97"/>
    <w:rsid w:val="00A87E4C"/>
    <w:rsid w:val="00A9058B"/>
    <w:rsid w:val="00A91845"/>
    <w:rsid w:val="00A91B4B"/>
    <w:rsid w:val="00A91EC8"/>
    <w:rsid w:val="00A920BE"/>
    <w:rsid w:val="00A94ECB"/>
    <w:rsid w:val="00A96FE1"/>
    <w:rsid w:val="00A9782C"/>
    <w:rsid w:val="00AA04A0"/>
    <w:rsid w:val="00AA2310"/>
    <w:rsid w:val="00AA2878"/>
    <w:rsid w:val="00AA2FB3"/>
    <w:rsid w:val="00AB0DEF"/>
    <w:rsid w:val="00AB26A8"/>
    <w:rsid w:val="00AB3296"/>
    <w:rsid w:val="00AB3C1B"/>
    <w:rsid w:val="00AB5442"/>
    <w:rsid w:val="00AB753F"/>
    <w:rsid w:val="00AC0E9F"/>
    <w:rsid w:val="00AC0F71"/>
    <w:rsid w:val="00AC1AD3"/>
    <w:rsid w:val="00AC1DCC"/>
    <w:rsid w:val="00AC2047"/>
    <w:rsid w:val="00AC318C"/>
    <w:rsid w:val="00AC3907"/>
    <w:rsid w:val="00AC6EF8"/>
    <w:rsid w:val="00AD0166"/>
    <w:rsid w:val="00AD1BFC"/>
    <w:rsid w:val="00AD1D6A"/>
    <w:rsid w:val="00AD22EF"/>
    <w:rsid w:val="00AD4420"/>
    <w:rsid w:val="00AD5A4A"/>
    <w:rsid w:val="00AD5A7B"/>
    <w:rsid w:val="00AD758E"/>
    <w:rsid w:val="00AD7BA1"/>
    <w:rsid w:val="00AD7E83"/>
    <w:rsid w:val="00AE00CB"/>
    <w:rsid w:val="00AE0B76"/>
    <w:rsid w:val="00AE2251"/>
    <w:rsid w:val="00AE2314"/>
    <w:rsid w:val="00AE2C0E"/>
    <w:rsid w:val="00AE40FF"/>
    <w:rsid w:val="00AE5CAD"/>
    <w:rsid w:val="00AE60C3"/>
    <w:rsid w:val="00AF0671"/>
    <w:rsid w:val="00AF0F80"/>
    <w:rsid w:val="00AF26B6"/>
    <w:rsid w:val="00AF2C7C"/>
    <w:rsid w:val="00AF430E"/>
    <w:rsid w:val="00AF44DF"/>
    <w:rsid w:val="00AF6CCC"/>
    <w:rsid w:val="00AF6D4A"/>
    <w:rsid w:val="00AF6E9A"/>
    <w:rsid w:val="00AF6F56"/>
    <w:rsid w:val="00AF7B2A"/>
    <w:rsid w:val="00B001E3"/>
    <w:rsid w:val="00B00BFE"/>
    <w:rsid w:val="00B01353"/>
    <w:rsid w:val="00B01B38"/>
    <w:rsid w:val="00B01CC3"/>
    <w:rsid w:val="00B025D8"/>
    <w:rsid w:val="00B02749"/>
    <w:rsid w:val="00B03BD1"/>
    <w:rsid w:val="00B04AD1"/>
    <w:rsid w:val="00B06B2A"/>
    <w:rsid w:val="00B11118"/>
    <w:rsid w:val="00B11772"/>
    <w:rsid w:val="00B11E4C"/>
    <w:rsid w:val="00B12151"/>
    <w:rsid w:val="00B121FB"/>
    <w:rsid w:val="00B13651"/>
    <w:rsid w:val="00B1443A"/>
    <w:rsid w:val="00B1593F"/>
    <w:rsid w:val="00B16740"/>
    <w:rsid w:val="00B16D8C"/>
    <w:rsid w:val="00B16E96"/>
    <w:rsid w:val="00B22CFF"/>
    <w:rsid w:val="00B22FF3"/>
    <w:rsid w:val="00B24518"/>
    <w:rsid w:val="00B24CF1"/>
    <w:rsid w:val="00B2607A"/>
    <w:rsid w:val="00B26CAD"/>
    <w:rsid w:val="00B27E57"/>
    <w:rsid w:val="00B301FF"/>
    <w:rsid w:val="00B309FB"/>
    <w:rsid w:val="00B31E29"/>
    <w:rsid w:val="00B32FA0"/>
    <w:rsid w:val="00B3340A"/>
    <w:rsid w:val="00B338EF"/>
    <w:rsid w:val="00B358A4"/>
    <w:rsid w:val="00B35BC9"/>
    <w:rsid w:val="00B36BF7"/>
    <w:rsid w:val="00B37371"/>
    <w:rsid w:val="00B405C5"/>
    <w:rsid w:val="00B406D3"/>
    <w:rsid w:val="00B40DE7"/>
    <w:rsid w:val="00B41F89"/>
    <w:rsid w:val="00B42AD8"/>
    <w:rsid w:val="00B42CF6"/>
    <w:rsid w:val="00B435E4"/>
    <w:rsid w:val="00B44348"/>
    <w:rsid w:val="00B4559F"/>
    <w:rsid w:val="00B455A9"/>
    <w:rsid w:val="00B45F67"/>
    <w:rsid w:val="00B460EB"/>
    <w:rsid w:val="00B469B0"/>
    <w:rsid w:val="00B47390"/>
    <w:rsid w:val="00B47994"/>
    <w:rsid w:val="00B5049A"/>
    <w:rsid w:val="00B5080A"/>
    <w:rsid w:val="00B51BAC"/>
    <w:rsid w:val="00B530CB"/>
    <w:rsid w:val="00B53541"/>
    <w:rsid w:val="00B53750"/>
    <w:rsid w:val="00B54F4E"/>
    <w:rsid w:val="00B55812"/>
    <w:rsid w:val="00B55DE5"/>
    <w:rsid w:val="00B56499"/>
    <w:rsid w:val="00B618E2"/>
    <w:rsid w:val="00B66C15"/>
    <w:rsid w:val="00B6733A"/>
    <w:rsid w:val="00B70EDE"/>
    <w:rsid w:val="00B7198C"/>
    <w:rsid w:val="00B7273A"/>
    <w:rsid w:val="00B73084"/>
    <w:rsid w:val="00B74140"/>
    <w:rsid w:val="00B747C7"/>
    <w:rsid w:val="00B74E0D"/>
    <w:rsid w:val="00B7582D"/>
    <w:rsid w:val="00B77D2C"/>
    <w:rsid w:val="00B77E40"/>
    <w:rsid w:val="00B80098"/>
    <w:rsid w:val="00B83F85"/>
    <w:rsid w:val="00B84AFB"/>
    <w:rsid w:val="00B84E47"/>
    <w:rsid w:val="00B8670C"/>
    <w:rsid w:val="00B92B04"/>
    <w:rsid w:val="00B92BAA"/>
    <w:rsid w:val="00B92CFF"/>
    <w:rsid w:val="00B93860"/>
    <w:rsid w:val="00B9419F"/>
    <w:rsid w:val="00B94267"/>
    <w:rsid w:val="00B96DC9"/>
    <w:rsid w:val="00B97169"/>
    <w:rsid w:val="00BA1B95"/>
    <w:rsid w:val="00BA296A"/>
    <w:rsid w:val="00BA3017"/>
    <w:rsid w:val="00BA3756"/>
    <w:rsid w:val="00BA4875"/>
    <w:rsid w:val="00BA55E3"/>
    <w:rsid w:val="00BA7B76"/>
    <w:rsid w:val="00BB2BBE"/>
    <w:rsid w:val="00BB3EE9"/>
    <w:rsid w:val="00BB4FD3"/>
    <w:rsid w:val="00BB5D58"/>
    <w:rsid w:val="00BB6E7E"/>
    <w:rsid w:val="00BB7C71"/>
    <w:rsid w:val="00BC09F1"/>
    <w:rsid w:val="00BC2073"/>
    <w:rsid w:val="00BC3961"/>
    <w:rsid w:val="00BC4112"/>
    <w:rsid w:val="00BC4391"/>
    <w:rsid w:val="00BC5453"/>
    <w:rsid w:val="00BC678D"/>
    <w:rsid w:val="00BC68EF"/>
    <w:rsid w:val="00BC6B44"/>
    <w:rsid w:val="00BC7C7E"/>
    <w:rsid w:val="00BD0846"/>
    <w:rsid w:val="00BD41B1"/>
    <w:rsid w:val="00BD43AD"/>
    <w:rsid w:val="00BD5771"/>
    <w:rsid w:val="00BD73AD"/>
    <w:rsid w:val="00BD7527"/>
    <w:rsid w:val="00BD7653"/>
    <w:rsid w:val="00BD7ADB"/>
    <w:rsid w:val="00BE1530"/>
    <w:rsid w:val="00BE1CFB"/>
    <w:rsid w:val="00BE29C1"/>
    <w:rsid w:val="00BE3CF8"/>
    <w:rsid w:val="00BE5AE5"/>
    <w:rsid w:val="00BE6679"/>
    <w:rsid w:val="00BF0089"/>
    <w:rsid w:val="00BF05CA"/>
    <w:rsid w:val="00BF0608"/>
    <w:rsid w:val="00BF145A"/>
    <w:rsid w:val="00BF16FB"/>
    <w:rsid w:val="00BF1CFB"/>
    <w:rsid w:val="00BF1E76"/>
    <w:rsid w:val="00BF3188"/>
    <w:rsid w:val="00BF447E"/>
    <w:rsid w:val="00BF770F"/>
    <w:rsid w:val="00BF782E"/>
    <w:rsid w:val="00BF7A47"/>
    <w:rsid w:val="00C00E61"/>
    <w:rsid w:val="00C0135F"/>
    <w:rsid w:val="00C01439"/>
    <w:rsid w:val="00C01B9B"/>
    <w:rsid w:val="00C01E2D"/>
    <w:rsid w:val="00C01FD9"/>
    <w:rsid w:val="00C0494D"/>
    <w:rsid w:val="00C04B0B"/>
    <w:rsid w:val="00C05CED"/>
    <w:rsid w:val="00C05D0F"/>
    <w:rsid w:val="00C0772B"/>
    <w:rsid w:val="00C10391"/>
    <w:rsid w:val="00C114E0"/>
    <w:rsid w:val="00C13255"/>
    <w:rsid w:val="00C14C1E"/>
    <w:rsid w:val="00C20672"/>
    <w:rsid w:val="00C20F13"/>
    <w:rsid w:val="00C23277"/>
    <w:rsid w:val="00C247DF"/>
    <w:rsid w:val="00C24897"/>
    <w:rsid w:val="00C24C58"/>
    <w:rsid w:val="00C25E72"/>
    <w:rsid w:val="00C2622C"/>
    <w:rsid w:val="00C26839"/>
    <w:rsid w:val="00C270A8"/>
    <w:rsid w:val="00C30A97"/>
    <w:rsid w:val="00C31876"/>
    <w:rsid w:val="00C33726"/>
    <w:rsid w:val="00C338AA"/>
    <w:rsid w:val="00C358F1"/>
    <w:rsid w:val="00C36400"/>
    <w:rsid w:val="00C37869"/>
    <w:rsid w:val="00C40F00"/>
    <w:rsid w:val="00C4501E"/>
    <w:rsid w:val="00C451D0"/>
    <w:rsid w:val="00C4527D"/>
    <w:rsid w:val="00C4574F"/>
    <w:rsid w:val="00C4577E"/>
    <w:rsid w:val="00C471EF"/>
    <w:rsid w:val="00C47634"/>
    <w:rsid w:val="00C47E88"/>
    <w:rsid w:val="00C50978"/>
    <w:rsid w:val="00C50D0E"/>
    <w:rsid w:val="00C511EC"/>
    <w:rsid w:val="00C51572"/>
    <w:rsid w:val="00C515EF"/>
    <w:rsid w:val="00C51BD9"/>
    <w:rsid w:val="00C51BFF"/>
    <w:rsid w:val="00C522CE"/>
    <w:rsid w:val="00C53A62"/>
    <w:rsid w:val="00C554E4"/>
    <w:rsid w:val="00C55A53"/>
    <w:rsid w:val="00C55BC6"/>
    <w:rsid w:val="00C55E72"/>
    <w:rsid w:val="00C5697D"/>
    <w:rsid w:val="00C57A0D"/>
    <w:rsid w:val="00C57B84"/>
    <w:rsid w:val="00C603C4"/>
    <w:rsid w:val="00C611A9"/>
    <w:rsid w:val="00C614EC"/>
    <w:rsid w:val="00C619C5"/>
    <w:rsid w:val="00C62E66"/>
    <w:rsid w:val="00C63B4C"/>
    <w:rsid w:val="00C66ABB"/>
    <w:rsid w:val="00C67AC5"/>
    <w:rsid w:val="00C70280"/>
    <w:rsid w:val="00C71634"/>
    <w:rsid w:val="00C72273"/>
    <w:rsid w:val="00C72C63"/>
    <w:rsid w:val="00C72F9A"/>
    <w:rsid w:val="00C8001F"/>
    <w:rsid w:val="00C80710"/>
    <w:rsid w:val="00C8071C"/>
    <w:rsid w:val="00C8167A"/>
    <w:rsid w:val="00C82A88"/>
    <w:rsid w:val="00C83D59"/>
    <w:rsid w:val="00C83FDE"/>
    <w:rsid w:val="00C84753"/>
    <w:rsid w:val="00C84CD0"/>
    <w:rsid w:val="00C84E6F"/>
    <w:rsid w:val="00C857E2"/>
    <w:rsid w:val="00C85F8B"/>
    <w:rsid w:val="00C8610A"/>
    <w:rsid w:val="00C867EC"/>
    <w:rsid w:val="00C86B6B"/>
    <w:rsid w:val="00C86D39"/>
    <w:rsid w:val="00C87F56"/>
    <w:rsid w:val="00CA04EA"/>
    <w:rsid w:val="00CA1348"/>
    <w:rsid w:val="00CA35B5"/>
    <w:rsid w:val="00CA386E"/>
    <w:rsid w:val="00CA425C"/>
    <w:rsid w:val="00CA42AE"/>
    <w:rsid w:val="00CB28F2"/>
    <w:rsid w:val="00CB3320"/>
    <w:rsid w:val="00CB6C48"/>
    <w:rsid w:val="00CB6E7E"/>
    <w:rsid w:val="00CC17C2"/>
    <w:rsid w:val="00CC1FD7"/>
    <w:rsid w:val="00CC30ED"/>
    <w:rsid w:val="00CC39E6"/>
    <w:rsid w:val="00CC3EB4"/>
    <w:rsid w:val="00CC4185"/>
    <w:rsid w:val="00CC4D81"/>
    <w:rsid w:val="00CC4F95"/>
    <w:rsid w:val="00CC68E9"/>
    <w:rsid w:val="00CC70E5"/>
    <w:rsid w:val="00CD0C3D"/>
    <w:rsid w:val="00CD2ABD"/>
    <w:rsid w:val="00CD3128"/>
    <w:rsid w:val="00CD3F7F"/>
    <w:rsid w:val="00CD4318"/>
    <w:rsid w:val="00CD47F7"/>
    <w:rsid w:val="00CD4AB7"/>
    <w:rsid w:val="00CD59A7"/>
    <w:rsid w:val="00CD6C35"/>
    <w:rsid w:val="00CE292A"/>
    <w:rsid w:val="00CE29A9"/>
    <w:rsid w:val="00CE3910"/>
    <w:rsid w:val="00CE48D8"/>
    <w:rsid w:val="00CE76DD"/>
    <w:rsid w:val="00CE7B2D"/>
    <w:rsid w:val="00CE7C0A"/>
    <w:rsid w:val="00CF0321"/>
    <w:rsid w:val="00CF0CD9"/>
    <w:rsid w:val="00CF294B"/>
    <w:rsid w:val="00CF2B10"/>
    <w:rsid w:val="00CF301B"/>
    <w:rsid w:val="00CF306E"/>
    <w:rsid w:val="00CF36F4"/>
    <w:rsid w:val="00CF3ACD"/>
    <w:rsid w:val="00CF4D44"/>
    <w:rsid w:val="00CF50D8"/>
    <w:rsid w:val="00CF55DA"/>
    <w:rsid w:val="00CF72FF"/>
    <w:rsid w:val="00D01C34"/>
    <w:rsid w:val="00D01F4D"/>
    <w:rsid w:val="00D02201"/>
    <w:rsid w:val="00D02210"/>
    <w:rsid w:val="00D04B33"/>
    <w:rsid w:val="00D053A3"/>
    <w:rsid w:val="00D056BA"/>
    <w:rsid w:val="00D07533"/>
    <w:rsid w:val="00D11784"/>
    <w:rsid w:val="00D13434"/>
    <w:rsid w:val="00D13D9B"/>
    <w:rsid w:val="00D141A3"/>
    <w:rsid w:val="00D15D55"/>
    <w:rsid w:val="00D15E61"/>
    <w:rsid w:val="00D174EF"/>
    <w:rsid w:val="00D20F09"/>
    <w:rsid w:val="00D213EB"/>
    <w:rsid w:val="00D24019"/>
    <w:rsid w:val="00D25499"/>
    <w:rsid w:val="00D258BA"/>
    <w:rsid w:val="00D2727C"/>
    <w:rsid w:val="00D278DA"/>
    <w:rsid w:val="00D3079E"/>
    <w:rsid w:val="00D33337"/>
    <w:rsid w:val="00D339AE"/>
    <w:rsid w:val="00D350E9"/>
    <w:rsid w:val="00D36A9A"/>
    <w:rsid w:val="00D40159"/>
    <w:rsid w:val="00D401F0"/>
    <w:rsid w:val="00D40BBB"/>
    <w:rsid w:val="00D415EE"/>
    <w:rsid w:val="00D42470"/>
    <w:rsid w:val="00D42D12"/>
    <w:rsid w:val="00D44C1C"/>
    <w:rsid w:val="00D45E1A"/>
    <w:rsid w:val="00D47DFF"/>
    <w:rsid w:val="00D50DD8"/>
    <w:rsid w:val="00D51540"/>
    <w:rsid w:val="00D52CCB"/>
    <w:rsid w:val="00D539C0"/>
    <w:rsid w:val="00D56167"/>
    <w:rsid w:val="00D570D7"/>
    <w:rsid w:val="00D57A8C"/>
    <w:rsid w:val="00D61E98"/>
    <w:rsid w:val="00D6323E"/>
    <w:rsid w:val="00D64545"/>
    <w:rsid w:val="00D6491C"/>
    <w:rsid w:val="00D65237"/>
    <w:rsid w:val="00D65D5B"/>
    <w:rsid w:val="00D67FCC"/>
    <w:rsid w:val="00D719AC"/>
    <w:rsid w:val="00D72AFB"/>
    <w:rsid w:val="00D74DD0"/>
    <w:rsid w:val="00D76776"/>
    <w:rsid w:val="00D76FB5"/>
    <w:rsid w:val="00D77720"/>
    <w:rsid w:val="00D82A07"/>
    <w:rsid w:val="00D82DB7"/>
    <w:rsid w:val="00D86DF6"/>
    <w:rsid w:val="00D92053"/>
    <w:rsid w:val="00D922AE"/>
    <w:rsid w:val="00D92866"/>
    <w:rsid w:val="00D935EA"/>
    <w:rsid w:val="00D93835"/>
    <w:rsid w:val="00D94404"/>
    <w:rsid w:val="00D966C9"/>
    <w:rsid w:val="00D96BBB"/>
    <w:rsid w:val="00DA155B"/>
    <w:rsid w:val="00DA1F7E"/>
    <w:rsid w:val="00DA252E"/>
    <w:rsid w:val="00DA2F4E"/>
    <w:rsid w:val="00DA41A4"/>
    <w:rsid w:val="00DA5816"/>
    <w:rsid w:val="00DA6343"/>
    <w:rsid w:val="00DA656A"/>
    <w:rsid w:val="00DA79C7"/>
    <w:rsid w:val="00DB0E59"/>
    <w:rsid w:val="00DB0EEE"/>
    <w:rsid w:val="00DB1ECD"/>
    <w:rsid w:val="00DB3F3F"/>
    <w:rsid w:val="00DB6B18"/>
    <w:rsid w:val="00DC2779"/>
    <w:rsid w:val="00DC4584"/>
    <w:rsid w:val="00DD2338"/>
    <w:rsid w:val="00DD324C"/>
    <w:rsid w:val="00DD661C"/>
    <w:rsid w:val="00DD71EF"/>
    <w:rsid w:val="00DD778D"/>
    <w:rsid w:val="00DE0FDD"/>
    <w:rsid w:val="00DE107A"/>
    <w:rsid w:val="00DE1470"/>
    <w:rsid w:val="00DE14E7"/>
    <w:rsid w:val="00DE1EE2"/>
    <w:rsid w:val="00DE2BEF"/>
    <w:rsid w:val="00DE3252"/>
    <w:rsid w:val="00DE4469"/>
    <w:rsid w:val="00DE697B"/>
    <w:rsid w:val="00DF0BF3"/>
    <w:rsid w:val="00DF14EF"/>
    <w:rsid w:val="00DF39CB"/>
    <w:rsid w:val="00DF3AEF"/>
    <w:rsid w:val="00DF4455"/>
    <w:rsid w:val="00DF646B"/>
    <w:rsid w:val="00DF7916"/>
    <w:rsid w:val="00E027DB"/>
    <w:rsid w:val="00E02E01"/>
    <w:rsid w:val="00E107F4"/>
    <w:rsid w:val="00E12E73"/>
    <w:rsid w:val="00E13723"/>
    <w:rsid w:val="00E142C7"/>
    <w:rsid w:val="00E15499"/>
    <w:rsid w:val="00E158E4"/>
    <w:rsid w:val="00E17C2A"/>
    <w:rsid w:val="00E20B57"/>
    <w:rsid w:val="00E20CFB"/>
    <w:rsid w:val="00E21EA1"/>
    <w:rsid w:val="00E22380"/>
    <w:rsid w:val="00E24057"/>
    <w:rsid w:val="00E24B6A"/>
    <w:rsid w:val="00E25DD1"/>
    <w:rsid w:val="00E26472"/>
    <w:rsid w:val="00E267E0"/>
    <w:rsid w:val="00E30987"/>
    <w:rsid w:val="00E32152"/>
    <w:rsid w:val="00E3271A"/>
    <w:rsid w:val="00E32A7B"/>
    <w:rsid w:val="00E345FC"/>
    <w:rsid w:val="00E34B42"/>
    <w:rsid w:val="00E34C11"/>
    <w:rsid w:val="00E35258"/>
    <w:rsid w:val="00E357E3"/>
    <w:rsid w:val="00E35FE0"/>
    <w:rsid w:val="00E361EA"/>
    <w:rsid w:val="00E36D9E"/>
    <w:rsid w:val="00E37C6C"/>
    <w:rsid w:val="00E43247"/>
    <w:rsid w:val="00E434FC"/>
    <w:rsid w:val="00E44D57"/>
    <w:rsid w:val="00E4634C"/>
    <w:rsid w:val="00E47119"/>
    <w:rsid w:val="00E515BB"/>
    <w:rsid w:val="00E51BE3"/>
    <w:rsid w:val="00E528E4"/>
    <w:rsid w:val="00E52DAE"/>
    <w:rsid w:val="00E537C7"/>
    <w:rsid w:val="00E55B92"/>
    <w:rsid w:val="00E56B15"/>
    <w:rsid w:val="00E608CE"/>
    <w:rsid w:val="00E62BBA"/>
    <w:rsid w:val="00E64E0C"/>
    <w:rsid w:val="00E660B7"/>
    <w:rsid w:val="00E70499"/>
    <w:rsid w:val="00E724DC"/>
    <w:rsid w:val="00E724E6"/>
    <w:rsid w:val="00E72E09"/>
    <w:rsid w:val="00E73750"/>
    <w:rsid w:val="00E76134"/>
    <w:rsid w:val="00E76245"/>
    <w:rsid w:val="00E77ABA"/>
    <w:rsid w:val="00E80827"/>
    <w:rsid w:val="00E82079"/>
    <w:rsid w:val="00E822E8"/>
    <w:rsid w:val="00E825CC"/>
    <w:rsid w:val="00E848AA"/>
    <w:rsid w:val="00E87DB6"/>
    <w:rsid w:val="00E90F19"/>
    <w:rsid w:val="00E92B3C"/>
    <w:rsid w:val="00E95113"/>
    <w:rsid w:val="00E951ED"/>
    <w:rsid w:val="00EA021A"/>
    <w:rsid w:val="00EA231E"/>
    <w:rsid w:val="00EA3F6C"/>
    <w:rsid w:val="00EA4203"/>
    <w:rsid w:val="00EA57CD"/>
    <w:rsid w:val="00EB06C9"/>
    <w:rsid w:val="00EB1900"/>
    <w:rsid w:val="00EB20F4"/>
    <w:rsid w:val="00EB2D21"/>
    <w:rsid w:val="00EB39F7"/>
    <w:rsid w:val="00EB5825"/>
    <w:rsid w:val="00EB5C01"/>
    <w:rsid w:val="00EB5F03"/>
    <w:rsid w:val="00EB7792"/>
    <w:rsid w:val="00EB7D56"/>
    <w:rsid w:val="00EB7D61"/>
    <w:rsid w:val="00EC03F2"/>
    <w:rsid w:val="00EC1A5F"/>
    <w:rsid w:val="00EC1C6B"/>
    <w:rsid w:val="00EC3EBC"/>
    <w:rsid w:val="00EC4143"/>
    <w:rsid w:val="00EC4E49"/>
    <w:rsid w:val="00EC539A"/>
    <w:rsid w:val="00EC5DBC"/>
    <w:rsid w:val="00EC6728"/>
    <w:rsid w:val="00EC6BBB"/>
    <w:rsid w:val="00ED136F"/>
    <w:rsid w:val="00ED2919"/>
    <w:rsid w:val="00ED2BC2"/>
    <w:rsid w:val="00ED2E36"/>
    <w:rsid w:val="00ED3486"/>
    <w:rsid w:val="00ED3C96"/>
    <w:rsid w:val="00ED3FD6"/>
    <w:rsid w:val="00ED40A8"/>
    <w:rsid w:val="00ED44EB"/>
    <w:rsid w:val="00ED5473"/>
    <w:rsid w:val="00ED7FA2"/>
    <w:rsid w:val="00EE08CC"/>
    <w:rsid w:val="00EE2B3F"/>
    <w:rsid w:val="00EE4849"/>
    <w:rsid w:val="00EE494F"/>
    <w:rsid w:val="00EE4B2B"/>
    <w:rsid w:val="00EE4CC4"/>
    <w:rsid w:val="00EE5563"/>
    <w:rsid w:val="00EE591B"/>
    <w:rsid w:val="00EE609B"/>
    <w:rsid w:val="00EE72D4"/>
    <w:rsid w:val="00EF192B"/>
    <w:rsid w:val="00EF3EA6"/>
    <w:rsid w:val="00EF4018"/>
    <w:rsid w:val="00EF70FF"/>
    <w:rsid w:val="00EF732C"/>
    <w:rsid w:val="00EF7D8D"/>
    <w:rsid w:val="00F001DF"/>
    <w:rsid w:val="00F00A15"/>
    <w:rsid w:val="00F02343"/>
    <w:rsid w:val="00F02638"/>
    <w:rsid w:val="00F02782"/>
    <w:rsid w:val="00F02E80"/>
    <w:rsid w:val="00F04700"/>
    <w:rsid w:val="00F04DD8"/>
    <w:rsid w:val="00F06A1C"/>
    <w:rsid w:val="00F07226"/>
    <w:rsid w:val="00F11334"/>
    <w:rsid w:val="00F11768"/>
    <w:rsid w:val="00F12F02"/>
    <w:rsid w:val="00F134A2"/>
    <w:rsid w:val="00F13ACE"/>
    <w:rsid w:val="00F13C43"/>
    <w:rsid w:val="00F148DB"/>
    <w:rsid w:val="00F14A2E"/>
    <w:rsid w:val="00F15421"/>
    <w:rsid w:val="00F16BC5"/>
    <w:rsid w:val="00F1739F"/>
    <w:rsid w:val="00F20770"/>
    <w:rsid w:val="00F24A8E"/>
    <w:rsid w:val="00F253A1"/>
    <w:rsid w:val="00F25AB6"/>
    <w:rsid w:val="00F278A4"/>
    <w:rsid w:val="00F27DCE"/>
    <w:rsid w:val="00F30F8A"/>
    <w:rsid w:val="00F31A43"/>
    <w:rsid w:val="00F3267F"/>
    <w:rsid w:val="00F33019"/>
    <w:rsid w:val="00F3498B"/>
    <w:rsid w:val="00F3548C"/>
    <w:rsid w:val="00F35653"/>
    <w:rsid w:val="00F360C9"/>
    <w:rsid w:val="00F364D7"/>
    <w:rsid w:val="00F3737B"/>
    <w:rsid w:val="00F37EAE"/>
    <w:rsid w:val="00F404D5"/>
    <w:rsid w:val="00F40F93"/>
    <w:rsid w:val="00F415DF"/>
    <w:rsid w:val="00F43707"/>
    <w:rsid w:val="00F44916"/>
    <w:rsid w:val="00F45061"/>
    <w:rsid w:val="00F45208"/>
    <w:rsid w:val="00F47F86"/>
    <w:rsid w:val="00F503D2"/>
    <w:rsid w:val="00F51B8C"/>
    <w:rsid w:val="00F5271F"/>
    <w:rsid w:val="00F5400A"/>
    <w:rsid w:val="00F547F1"/>
    <w:rsid w:val="00F54DF4"/>
    <w:rsid w:val="00F55F44"/>
    <w:rsid w:val="00F56143"/>
    <w:rsid w:val="00F5677C"/>
    <w:rsid w:val="00F57525"/>
    <w:rsid w:val="00F575BE"/>
    <w:rsid w:val="00F601C3"/>
    <w:rsid w:val="00F60D7C"/>
    <w:rsid w:val="00F61E8C"/>
    <w:rsid w:val="00F63C91"/>
    <w:rsid w:val="00F6495C"/>
    <w:rsid w:val="00F65A4B"/>
    <w:rsid w:val="00F66431"/>
    <w:rsid w:val="00F667B8"/>
    <w:rsid w:val="00F6738A"/>
    <w:rsid w:val="00F70A68"/>
    <w:rsid w:val="00F710CD"/>
    <w:rsid w:val="00F7514D"/>
    <w:rsid w:val="00F75939"/>
    <w:rsid w:val="00F75B5B"/>
    <w:rsid w:val="00F761C6"/>
    <w:rsid w:val="00F762BD"/>
    <w:rsid w:val="00F805CD"/>
    <w:rsid w:val="00F806AA"/>
    <w:rsid w:val="00F83174"/>
    <w:rsid w:val="00F8377D"/>
    <w:rsid w:val="00F83F8C"/>
    <w:rsid w:val="00F83FA6"/>
    <w:rsid w:val="00F84701"/>
    <w:rsid w:val="00F85EEA"/>
    <w:rsid w:val="00F8757F"/>
    <w:rsid w:val="00F902EF"/>
    <w:rsid w:val="00F91247"/>
    <w:rsid w:val="00F9280B"/>
    <w:rsid w:val="00F92B50"/>
    <w:rsid w:val="00F93709"/>
    <w:rsid w:val="00F94A1D"/>
    <w:rsid w:val="00F95E9D"/>
    <w:rsid w:val="00F960D9"/>
    <w:rsid w:val="00F97140"/>
    <w:rsid w:val="00F97F1B"/>
    <w:rsid w:val="00F97F96"/>
    <w:rsid w:val="00FA19A2"/>
    <w:rsid w:val="00FA1ECC"/>
    <w:rsid w:val="00FA48DA"/>
    <w:rsid w:val="00FA575A"/>
    <w:rsid w:val="00FB0515"/>
    <w:rsid w:val="00FB0F1D"/>
    <w:rsid w:val="00FB10A0"/>
    <w:rsid w:val="00FB27EF"/>
    <w:rsid w:val="00FB37CE"/>
    <w:rsid w:val="00FB4DB4"/>
    <w:rsid w:val="00FB5608"/>
    <w:rsid w:val="00FB5AF5"/>
    <w:rsid w:val="00FB6B3E"/>
    <w:rsid w:val="00FB70FD"/>
    <w:rsid w:val="00FC0004"/>
    <w:rsid w:val="00FC1975"/>
    <w:rsid w:val="00FC258D"/>
    <w:rsid w:val="00FC4A80"/>
    <w:rsid w:val="00FC5E98"/>
    <w:rsid w:val="00FC602F"/>
    <w:rsid w:val="00FD00B5"/>
    <w:rsid w:val="00FD046B"/>
    <w:rsid w:val="00FD0CB8"/>
    <w:rsid w:val="00FD128F"/>
    <w:rsid w:val="00FD2ADB"/>
    <w:rsid w:val="00FD3BB4"/>
    <w:rsid w:val="00FD5830"/>
    <w:rsid w:val="00FD5917"/>
    <w:rsid w:val="00FD62AF"/>
    <w:rsid w:val="00FD6E00"/>
    <w:rsid w:val="00FD7F64"/>
    <w:rsid w:val="00FE11F1"/>
    <w:rsid w:val="00FE1C42"/>
    <w:rsid w:val="00FE30E6"/>
    <w:rsid w:val="00FE3D18"/>
    <w:rsid w:val="00FE5E8F"/>
    <w:rsid w:val="00FF0672"/>
    <w:rsid w:val="00FF181F"/>
    <w:rsid w:val="00FF2454"/>
    <w:rsid w:val="00FF275C"/>
    <w:rsid w:val="00FF2E39"/>
    <w:rsid w:val="00FF46D6"/>
    <w:rsid w:val="00FF493D"/>
    <w:rsid w:val="00FF676E"/>
    <w:rsid w:val="09014074"/>
    <w:rsid w:val="10399FEC"/>
    <w:rsid w:val="123D4CFB"/>
    <w:rsid w:val="14A93882"/>
    <w:rsid w:val="1965A103"/>
    <w:rsid w:val="1A96F571"/>
    <w:rsid w:val="1AE7837D"/>
    <w:rsid w:val="247272E5"/>
    <w:rsid w:val="2B598ABA"/>
    <w:rsid w:val="2BAA4741"/>
    <w:rsid w:val="2E4F050F"/>
    <w:rsid w:val="31555641"/>
    <w:rsid w:val="357A9105"/>
    <w:rsid w:val="3614F239"/>
    <w:rsid w:val="3A1319AC"/>
    <w:rsid w:val="41A2AD3E"/>
    <w:rsid w:val="45CD49FF"/>
    <w:rsid w:val="4A256BB4"/>
    <w:rsid w:val="4B50F5A9"/>
    <w:rsid w:val="58597A80"/>
    <w:rsid w:val="650C6EE4"/>
    <w:rsid w:val="6FA9A3E7"/>
    <w:rsid w:val="6FD925C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B86DE7"/>
  <w15:docId w15:val="{2BE7EC5A-B90E-4B28-BE0B-AFF33BC10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lsdException w:name="heading 3" w:locked="0" w:semiHidden="1" w:uiPriority="0" w:unhideWhenUsed="1"/>
    <w:lsdException w:name="heading 4" w:locked="0" w:semiHidden="1" w:uiPriority="9" w:unhideWhenUsed="1" w:qFormat="1"/>
    <w:lsdException w:name="heading 5" w:locked="0" w:semiHidden="1" w:uiPriority="9" w:unhideWhenUsed="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semiHidden="1"/>
    <w:lsdException w:name="header" w:locked="0" w:semiHidden="1" w:unhideWhenUsed="1"/>
    <w:lsdException w:name="footer" w:locked="0" w:semiHidden="1" w:unhideWhenUsed="1" w:qFormat="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semiHidden="1"/>
    <w:lsdException w:name="line number" w:semiHidden="1"/>
    <w:lsdException w:name="page number" w:locked="0" w:semiHidden="1" w:uiPriority="39"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locked="0" w:semiHidden="1" w:unhideWhenUsed="1"/>
    <w:lsdException w:name="List Number" w:semiHidden="1"/>
    <w:lsdException w:name="List 2" w:semiHidden="1"/>
    <w:lsdException w:name="List 3" w:semiHidden="1"/>
    <w:lsdException w:name="List 4" w:semiHidden="1"/>
    <w:lsdException w:name="List 5" w:semiHidden="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semiHidden="1"/>
    <w:lsdException w:name="List Number 3" w:semiHidden="1"/>
    <w:lsdException w:name="List Number 4" w:semiHidden="1"/>
    <w:lsdException w:name="List Number 5" w:semiHidden="1"/>
    <w:lsdException w:name="Title" w:semiHidden="1" w:uiPriority="39"/>
    <w:lsdException w:name="Closing" w:semiHidden="1"/>
    <w:lsdException w:name="Signature" w:semiHidden="1"/>
    <w:lsdException w:name="Default Paragraph Font" w:locked="0" w:semiHidden="1" w:uiPriority="1" w:unhideWhenUsed="1"/>
    <w:lsdException w:name="Body Text" w:locked="0" w:semiHidden="1" w:uiPriority="39"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39"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locked="0" w:semiHidden="1" w:unhideWhenUsed="1"/>
    <w:lsdException w:name="Strong" w:semiHidden="1" w:uiPriority="39" w:qFormat="1"/>
    <w:lsdException w:name="Emphasis" w:semiHidden="1" w:uiPriority="39"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locked="0"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locked="0" w:uiPriority="31" w:qFormat="1"/>
    <w:lsdException w:name="Intense Reference" w:locked="0" w:uiPriority="32" w:qFormat="1"/>
    <w:lsdException w:name="Book Title" w:semiHidden="1" w:uiPriority="33" w:qFormat="1"/>
    <w:lsdException w:name="Bibliography" w:semiHidden="1" w:uiPriority="37"/>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lsdException w:name="Smart Hyperlink" w:locked="0" w:semiHidden="1"/>
    <w:lsdException w:name="Hashtag" w:locked="0" w:semiHidden="1"/>
    <w:lsdException w:name="Unresolved Mention" w:locked="0" w:semiHidden="1"/>
    <w:lsdException w:name="Smart Link" w:locked="0" w:semiHidden="1"/>
  </w:latentStyles>
  <w:style w:type="paragraph" w:default="1" w:styleId="Normal">
    <w:name w:val="Normal"/>
    <w:uiPriority w:val="39"/>
    <w:semiHidden/>
    <w:qFormat/>
    <w:rsid w:val="00CC68E9"/>
    <w:pPr>
      <w:spacing w:after="0" w:line="240" w:lineRule="auto"/>
    </w:pPr>
    <w:rPr>
      <w:sz w:val="19"/>
    </w:rPr>
  </w:style>
  <w:style w:type="paragraph" w:styleId="Heading1">
    <w:name w:val="heading 1"/>
    <w:basedOn w:val="Normal"/>
    <w:next w:val="BodytextRegular"/>
    <w:link w:val="Heading1Char"/>
    <w:uiPriority w:val="9"/>
    <w:semiHidden/>
    <w:qFormat/>
    <w:locked/>
    <w:rsid w:val="00664470"/>
    <w:pPr>
      <w:keepNext/>
      <w:pBdr>
        <w:bottom w:val="single" w:sz="8" w:space="1" w:color="63C532" w:themeColor="accent2"/>
      </w:pBdr>
      <w:tabs>
        <w:tab w:val="left" w:pos="1736"/>
      </w:tabs>
      <w:spacing w:after="240" w:line="276" w:lineRule="auto"/>
      <w:outlineLvl w:val="0"/>
    </w:pPr>
    <w:rPr>
      <w:rFonts w:asciiTheme="majorHAnsi" w:eastAsia="Times New Roman" w:hAnsiTheme="majorHAnsi" w:cs="Arial"/>
      <w:bCs/>
      <w:color w:val="A446BA" w:themeColor="text2"/>
      <w:kern w:val="32"/>
      <w:sz w:val="28"/>
      <w:szCs w:val="32"/>
    </w:rPr>
  </w:style>
  <w:style w:type="paragraph" w:styleId="Heading2">
    <w:name w:val="heading 2"/>
    <w:basedOn w:val="Normal"/>
    <w:next w:val="BodytextRegular"/>
    <w:link w:val="Heading2Char"/>
    <w:uiPriority w:val="39"/>
    <w:semiHidden/>
    <w:locked/>
    <w:rsid w:val="00664470"/>
    <w:pPr>
      <w:keepNext/>
      <w:tabs>
        <w:tab w:val="left" w:pos="1736"/>
      </w:tabs>
      <w:spacing w:before="120" w:after="120" w:line="320" w:lineRule="exact"/>
      <w:outlineLvl w:val="1"/>
    </w:pPr>
    <w:rPr>
      <w:rFonts w:asciiTheme="majorHAnsi" w:eastAsia="Times New Roman" w:hAnsiTheme="majorHAnsi" w:cs="Arial"/>
      <w:bCs/>
      <w:iCs/>
      <w:color w:val="001E41" w:themeColor="accent1"/>
      <w:sz w:val="24"/>
      <w:szCs w:val="28"/>
    </w:rPr>
  </w:style>
  <w:style w:type="paragraph" w:styleId="Heading3">
    <w:name w:val="heading 3"/>
    <w:basedOn w:val="Normal"/>
    <w:next w:val="BodytextRegular"/>
    <w:link w:val="Heading3Char"/>
    <w:autoRedefine/>
    <w:uiPriority w:val="39"/>
    <w:semiHidden/>
    <w:locked/>
    <w:rsid w:val="00AD758E"/>
    <w:pPr>
      <w:keepNext/>
      <w:spacing w:before="120" w:after="120"/>
      <w:outlineLvl w:val="2"/>
    </w:pPr>
    <w:rPr>
      <w:rFonts w:asciiTheme="majorHAnsi" w:eastAsia="Times New Roman" w:hAnsiTheme="majorHAnsi" w:cs="Arial"/>
      <w:bCs/>
      <w:color w:val="001E41" w:themeColor="accent1"/>
      <w:spacing w:val="-6"/>
      <w:sz w:val="22"/>
      <w:lang w:eastAsia="ja-JP"/>
    </w:rPr>
  </w:style>
  <w:style w:type="paragraph" w:styleId="Heading4">
    <w:name w:val="heading 4"/>
    <w:basedOn w:val="Normal"/>
    <w:next w:val="BodyText"/>
    <w:link w:val="Heading4Char"/>
    <w:uiPriority w:val="39"/>
    <w:semiHidden/>
    <w:qFormat/>
    <w:locked/>
    <w:rsid w:val="00AD758E"/>
    <w:pPr>
      <w:keepNext/>
      <w:keepLines/>
      <w:spacing w:before="200"/>
      <w:outlineLvl w:val="3"/>
    </w:pPr>
    <w:rPr>
      <w:rFonts w:asciiTheme="majorHAnsi" w:eastAsiaTheme="majorEastAsia" w:hAnsiTheme="majorHAnsi" w:cstheme="majorBidi"/>
      <w:b/>
      <w:bCs/>
      <w:iCs/>
      <w:color w:val="0074B7" w:themeColor="accent3"/>
    </w:rPr>
  </w:style>
  <w:style w:type="paragraph" w:styleId="Heading5">
    <w:name w:val="heading 5"/>
    <w:basedOn w:val="Normal"/>
    <w:next w:val="Normal"/>
    <w:link w:val="Heading5Char"/>
    <w:uiPriority w:val="39"/>
    <w:semiHidden/>
    <w:locked/>
    <w:rsid w:val="00AD758E"/>
    <w:pPr>
      <w:keepNext/>
      <w:keepLines/>
      <w:spacing w:before="200"/>
      <w:outlineLvl w:val="4"/>
    </w:pPr>
    <w:rPr>
      <w:rFonts w:asciiTheme="majorHAnsi" w:eastAsiaTheme="majorEastAsia" w:hAnsiTheme="majorHAnsi" w:cstheme="majorBidi"/>
      <w:color w:val="001E41"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next w:val="BodytextRegular"/>
    <w:uiPriority w:val="27"/>
    <w:qFormat/>
    <w:rsid w:val="0095184E"/>
    <w:pPr>
      <w:framePr w:hSpace="180" w:wrap="around" w:vAnchor="text" w:hAnchor="text" w:x="-6" w:y="1"/>
      <w:spacing w:line="216" w:lineRule="auto"/>
      <w:ind w:left="113"/>
      <w:suppressOverlap/>
    </w:pPr>
    <w:rPr>
      <w:rFonts w:ascii="Schroders Circular TT" w:hAnsi="Schroders Circular TT" w:cs="Schroders Circular TT Black"/>
      <w:color w:val="FFFFFF" w:themeColor="background1"/>
      <w:sz w:val="48"/>
      <w:szCs w:val="36"/>
      <w:lang w:val="fr-CH"/>
    </w:rPr>
  </w:style>
  <w:style w:type="paragraph" w:customStyle="1" w:styleId="Documentsubtitle">
    <w:name w:val="Document subtitle"/>
    <w:basedOn w:val="BodytextRegular"/>
    <w:next w:val="BodytextRegular"/>
    <w:uiPriority w:val="28"/>
    <w:qFormat/>
    <w:rsid w:val="0095184E"/>
    <w:rPr>
      <w:rFonts w:ascii="Schroders Circular TT" w:hAnsi="Schroders Circular TT"/>
      <w:color w:val="00A2B5" w:themeColor="background2"/>
      <w:sz w:val="28"/>
      <w:szCs w:val="32"/>
    </w:rPr>
  </w:style>
  <w:style w:type="character" w:customStyle="1" w:styleId="Heading1Char">
    <w:name w:val="Heading 1 Char"/>
    <w:basedOn w:val="DefaultParagraphFont"/>
    <w:link w:val="Heading1"/>
    <w:uiPriority w:val="9"/>
    <w:semiHidden/>
    <w:rsid w:val="00261FA2"/>
    <w:rPr>
      <w:rFonts w:asciiTheme="majorHAnsi" w:eastAsia="Times New Roman" w:hAnsiTheme="majorHAnsi" w:cs="Arial"/>
      <w:bCs/>
      <w:color w:val="002A5E"/>
      <w:kern w:val="32"/>
      <w:sz w:val="36"/>
      <w:szCs w:val="32"/>
    </w:rPr>
  </w:style>
  <w:style w:type="character" w:customStyle="1" w:styleId="Heading2Char">
    <w:name w:val="Heading 2 Char"/>
    <w:basedOn w:val="DefaultParagraphFont"/>
    <w:link w:val="Heading2"/>
    <w:uiPriority w:val="39"/>
    <w:semiHidden/>
    <w:rsid w:val="005245EE"/>
    <w:rPr>
      <w:rFonts w:asciiTheme="majorHAnsi" w:eastAsia="Times New Roman" w:hAnsiTheme="majorHAnsi" w:cs="Arial"/>
      <w:bCs/>
      <w:iCs/>
      <w:color w:val="0074B7" w:themeColor="accent3"/>
      <w:szCs w:val="28"/>
    </w:rPr>
  </w:style>
  <w:style w:type="character" w:customStyle="1" w:styleId="Heading3Char">
    <w:name w:val="Heading 3 Char"/>
    <w:basedOn w:val="DefaultParagraphFont"/>
    <w:link w:val="Heading3"/>
    <w:uiPriority w:val="39"/>
    <w:semiHidden/>
    <w:rsid w:val="00AD758E"/>
    <w:rPr>
      <w:rFonts w:asciiTheme="majorHAnsi" w:eastAsia="Times New Roman" w:hAnsiTheme="majorHAnsi" w:cs="Arial"/>
      <w:bCs/>
      <w:color w:val="001E41" w:themeColor="accent1"/>
      <w:spacing w:val="-6"/>
      <w:lang w:eastAsia="ja-JP"/>
    </w:rPr>
  </w:style>
  <w:style w:type="character" w:customStyle="1" w:styleId="Heading4Char">
    <w:name w:val="Heading 4 Char"/>
    <w:basedOn w:val="DefaultParagraphFont"/>
    <w:link w:val="Heading4"/>
    <w:uiPriority w:val="39"/>
    <w:semiHidden/>
    <w:rsid w:val="00AD758E"/>
    <w:rPr>
      <w:rFonts w:asciiTheme="majorHAnsi" w:eastAsiaTheme="majorEastAsia" w:hAnsiTheme="majorHAnsi" w:cstheme="majorBidi"/>
      <w:b/>
      <w:bCs/>
      <w:iCs/>
      <w:color w:val="0074B7" w:themeColor="accent3"/>
      <w:sz w:val="19"/>
    </w:rPr>
  </w:style>
  <w:style w:type="paragraph" w:styleId="BodyText">
    <w:name w:val="Body Text"/>
    <w:basedOn w:val="Normal"/>
    <w:link w:val="BodyTextChar"/>
    <w:uiPriority w:val="39"/>
    <w:semiHidden/>
    <w:locked/>
    <w:rsid w:val="00852601"/>
    <w:pPr>
      <w:spacing w:after="120"/>
    </w:pPr>
  </w:style>
  <w:style w:type="character" w:customStyle="1" w:styleId="BodyTextChar">
    <w:name w:val="Body Text Char"/>
    <w:basedOn w:val="DefaultParagraphFont"/>
    <w:link w:val="BodyText"/>
    <w:uiPriority w:val="39"/>
    <w:semiHidden/>
    <w:rsid w:val="00852601"/>
    <w:rPr>
      <w:sz w:val="19"/>
    </w:rPr>
  </w:style>
  <w:style w:type="paragraph" w:styleId="ListBullet">
    <w:name w:val="List Bullet"/>
    <w:basedOn w:val="Normal"/>
    <w:uiPriority w:val="99"/>
    <w:semiHidden/>
    <w:locked/>
    <w:rsid w:val="00E64E0C"/>
    <w:pPr>
      <w:numPr>
        <w:numId w:val="1"/>
      </w:numPr>
      <w:ind w:left="227" w:hanging="227"/>
      <w:contextualSpacing/>
    </w:pPr>
  </w:style>
  <w:style w:type="paragraph" w:styleId="ListBullet2">
    <w:name w:val="List Bullet 2"/>
    <w:basedOn w:val="Normal"/>
    <w:uiPriority w:val="99"/>
    <w:semiHidden/>
    <w:locked/>
    <w:rsid w:val="00E64E0C"/>
    <w:pPr>
      <w:numPr>
        <w:numId w:val="2"/>
      </w:numPr>
      <w:ind w:left="454" w:hanging="227"/>
      <w:contextualSpacing/>
    </w:pPr>
  </w:style>
  <w:style w:type="paragraph" w:styleId="ListBullet3">
    <w:name w:val="List Bullet 3"/>
    <w:basedOn w:val="Normal"/>
    <w:uiPriority w:val="99"/>
    <w:locked/>
    <w:rsid w:val="00E64E0C"/>
    <w:pPr>
      <w:numPr>
        <w:numId w:val="3"/>
      </w:numPr>
      <w:ind w:left="681" w:hanging="227"/>
      <w:contextualSpacing/>
    </w:pPr>
  </w:style>
  <w:style w:type="paragraph" w:styleId="ListBullet4">
    <w:name w:val="List Bullet 4"/>
    <w:basedOn w:val="Normal"/>
    <w:uiPriority w:val="99"/>
    <w:semiHidden/>
    <w:locked/>
    <w:rsid w:val="00E64E0C"/>
    <w:pPr>
      <w:numPr>
        <w:numId w:val="4"/>
      </w:numPr>
      <w:ind w:left="907" w:hanging="227"/>
      <w:contextualSpacing/>
    </w:pPr>
  </w:style>
  <w:style w:type="paragraph" w:styleId="ListBullet5">
    <w:name w:val="List Bullet 5"/>
    <w:basedOn w:val="Normal"/>
    <w:uiPriority w:val="99"/>
    <w:semiHidden/>
    <w:locked/>
    <w:rsid w:val="00E64E0C"/>
    <w:pPr>
      <w:numPr>
        <w:numId w:val="5"/>
      </w:numPr>
      <w:ind w:left="1134" w:hanging="227"/>
      <w:contextualSpacing/>
    </w:pPr>
  </w:style>
  <w:style w:type="table" w:styleId="TableGrid">
    <w:name w:val="Table Grid"/>
    <w:basedOn w:val="TableNormal"/>
    <w:uiPriority w:val="39"/>
    <w:locked/>
    <w:rsid w:val="007E03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39"/>
    <w:semiHidden/>
    <w:locked/>
    <w:rsid w:val="0093189A"/>
    <w:rPr>
      <w:rFonts w:asciiTheme="minorHAnsi" w:hAnsiTheme="minorHAnsi"/>
      <w:b/>
      <w:color w:val="001E41" w:themeColor="accent1"/>
      <w:sz w:val="16"/>
    </w:rPr>
  </w:style>
  <w:style w:type="paragraph" w:customStyle="1" w:styleId="Chartandtablesubtitle">
    <w:name w:val="Chart and table subtitle"/>
    <w:basedOn w:val="Tabletext"/>
    <w:next w:val="BodyText"/>
    <w:uiPriority w:val="18"/>
    <w:qFormat/>
    <w:rsid w:val="001A51FE"/>
    <w:rPr>
      <w:rFonts w:eastAsia="Times New Roman" w:cstheme="minorHAnsi"/>
      <w:lang w:eastAsia="ja-JP"/>
    </w:rPr>
  </w:style>
  <w:style w:type="paragraph" w:styleId="BalloonText">
    <w:name w:val="Balloon Text"/>
    <w:basedOn w:val="Normal"/>
    <w:link w:val="BalloonTextChar"/>
    <w:uiPriority w:val="99"/>
    <w:semiHidden/>
    <w:locked/>
    <w:rsid w:val="00C01FD9"/>
    <w:rPr>
      <w:rFonts w:ascii="Tahoma" w:hAnsi="Tahoma" w:cs="Tahoma"/>
      <w:sz w:val="16"/>
      <w:szCs w:val="16"/>
    </w:rPr>
  </w:style>
  <w:style w:type="character" w:customStyle="1" w:styleId="BalloonTextChar">
    <w:name w:val="Balloon Text Char"/>
    <w:basedOn w:val="DefaultParagraphFont"/>
    <w:link w:val="BalloonText"/>
    <w:uiPriority w:val="99"/>
    <w:semiHidden/>
    <w:rsid w:val="00384AD6"/>
    <w:rPr>
      <w:rFonts w:ascii="Tahoma" w:hAnsi="Tahoma" w:cs="Tahoma"/>
      <w:sz w:val="16"/>
      <w:szCs w:val="16"/>
    </w:rPr>
  </w:style>
  <w:style w:type="paragraph" w:customStyle="1" w:styleId="TableTextBold">
    <w:name w:val="Table Text Bold"/>
    <w:basedOn w:val="Normal"/>
    <w:uiPriority w:val="39"/>
    <w:semiHidden/>
    <w:qFormat/>
    <w:locked/>
    <w:rsid w:val="004977F0"/>
    <w:pPr>
      <w:tabs>
        <w:tab w:val="left" w:pos="3402"/>
      </w:tabs>
      <w:spacing w:before="60" w:after="60"/>
    </w:pPr>
    <w:rPr>
      <w:b/>
      <w:sz w:val="20"/>
      <w:lang w:eastAsia="ja-JP"/>
    </w:rPr>
  </w:style>
  <w:style w:type="paragraph" w:styleId="TOC1">
    <w:name w:val="toc 1"/>
    <w:aliases w:val="Table of Contents Level 1"/>
    <w:basedOn w:val="Normal"/>
    <w:next w:val="BodytextRegular"/>
    <w:autoRedefine/>
    <w:uiPriority w:val="39"/>
    <w:semiHidden/>
    <w:qFormat/>
    <w:rsid w:val="009510E0"/>
    <w:pPr>
      <w:tabs>
        <w:tab w:val="left" w:pos="425"/>
        <w:tab w:val="left" w:pos="1701"/>
        <w:tab w:val="right" w:leader="dot" w:pos="9923"/>
      </w:tabs>
      <w:spacing w:before="240" w:after="120"/>
      <w:ind w:left="1701" w:hanging="1701"/>
    </w:pPr>
    <w:rPr>
      <w:rFonts w:eastAsia="Times New Roman" w:cs="Arial"/>
      <w:b/>
      <w:noProof/>
      <w:color w:val="002A5E"/>
      <w:spacing w:val="-6"/>
      <w:sz w:val="24"/>
      <w:lang w:eastAsia="ja-JP"/>
    </w:rPr>
  </w:style>
  <w:style w:type="paragraph" w:customStyle="1" w:styleId="Tabletextunbold">
    <w:name w:val="Table text unbold"/>
    <w:basedOn w:val="TableTextBold"/>
    <w:uiPriority w:val="39"/>
    <w:semiHidden/>
    <w:locked/>
    <w:rsid w:val="004977F0"/>
    <w:pPr>
      <w:tabs>
        <w:tab w:val="clear" w:pos="3402"/>
        <w:tab w:val="left" w:pos="357"/>
      </w:tabs>
      <w:spacing w:before="40" w:after="40"/>
    </w:pPr>
    <w:rPr>
      <w:rFonts w:eastAsia="Times New Roman" w:cs="Arial"/>
      <w:b w:val="0"/>
    </w:rPr>
  </w:style>
  <w:style w:type="paragraph" w:styleId="TOC2">
    <w:name w:val="toc 2"/>
    <w:aliases w:val="Table of Contents Level 2"/>
    <w:basedOn w:val="Normal"/>
    <w:next w:val="Normal"/>
    <w:autoRedefine/>
    <w:uiPriority w:val="39"/>
    <w:semiHidden/>
    <w:qFormat/>
    <w:rsid w:val="003F25ED"/>
    <w:pPr>
      <w:tabs>
        <w:tab w:val="left" w:pos="992"/>
        <w:tab w:val="right" w:leader="dot" w:pos="9923"/>
      </w:tabs>
      <w:spacing w:before="60"/>
      <w:ind w:left="992" w:hanging="567"/>
    </w:pPr>
    <w:rPr>
      <w:rFonts w:eastAsiaTheme="minorEastAsia"/>
      <w:noProof/>
      <w:color w:val="001E41" w:themeColor="accent1"/>
      <w:sz w:val="22"/>
      <w:lang w:eastAsia="en-GB"/>
    </w:rPr>
  </w:style>
  <w:style w:type="character" w:styleId="Hyperlink">
    <w:name w:val="Hyperlink"/>
    <w:basedOn w:val="DefaultParagraphFont"/>
    <w:uiPriority w:val="99"/>
    <w:locked/>
    <w:rsid w:val="0095184E"/>
    <w:rPr>
      <w:color w:val="001E41" w:themeColor="accent1"/>
      <w:u w:val="single"/>
    </w:rPr>
  </w:style>
  <w:style w:type="paragraph" w:styleId="TOC3">
    <w:name w:val="toc 3"/>
    <w:aliases w:val="Table of Contents Level 3"/>
    <w:basedOn w:val="Normal"/>
    <w:next w:val="Normal"/>
    <w:autoRedefine/>
    <w:uiPriority w:val="39"/>
    <w:semiHidden/>
    <w:qFormat/>
    <w:rsid w:val="00105004"/>
    <w:pPr>
      <w:tabs>
        <w:tab w:val="left" w:pos="992"/>
        <w:tab w:val="right" w:leader="dot" w:pos="9923"/>
      </w:tabs>
      <w:spacing w:before="60"/>
      <w:ind w:left="993" w:hanging="568"/>
    </w:pPr>
    <w:rPr>
      <w:rFonts w:eastAsiaTheme="majorEastAsia" w:cstheme="majorHAnsi"/>
      <w:noProof/>
      <w:color w:val="002A5E"/>
      <w:sz w:val="22"/>
      <w:szCs w:val="24"/>
    </w:rPr>
  </w:style>
  <w:style w:type="character" w:customStyle="1" w:styleId="Heading5Char">
    <w:name w:val="Heading 5 Char"/>
    <w:basedOn w:val="DefaultParagraphFont"/>
    <w:link w:val="Heading5"/>
    <w:uiPriority w:val="39"/>
    <w:semiHidden/>
    <w:rsid w:val="00C05D0F"/>
    <w:rPr>
      <w:rFonts w:asciiTheme="majorHAnsi" w:eastAsiaTheme="majorEastAsia" w:hAnsiTheme="majorHAnsi" w:cstheme="majorBidi"/>
      <w:color w:val="001E41" w:themeColor="accent1"/>
      <w:sz w:val="19"/>
    </w:rPr>
  </w:style>
  <w:style w:type="paragraph" w:styleId="TOCHeading">
    <w:name w:val="TOC Heading"/>
    <w:next w:val="Normal"/>
    <w:uiPriority w:val="30"/>
    <w:semiHidden/>
    <w:qFormat/>
    <w:rsid w:val="001B725E"/>
    <w:pPr>
      <w:keepLines/>
      <w:spacing w:before="480" w:after="0"/>
    </w:pPr>
    <w:rPr>
      <w:rFonts w:asciiTheme="majorHAnsi" w:eastAsiaTheme="majorEastAsia" w:hAnsiTheme="majorHAnsi" w:cstheme="majorBidi"/>
      <w:color w:val="63C532" w:themeColor="accent2"/>
      <w:sz w:val="40"/>
      <w:szCs w:val="28"/>
    </w:rPr>
  </w:style>
  <w:style w:type="paragraph" w:customStyle="1" w:styleId="Disclaimertext">
    <w:name w:val="Disclaimer text"/>
    <w:next w:val="BodyText"/>
    <w:uiPriority w:val="24"/>
    <w:rsid w:val="00EF192B"/>
    <w:pPr>
      <w:tabs>
        <w:tab w:val="left" w:pos="3402"/>
      </w:tabs>
      <w:spacing w:before="60" w:after="0" w:line="190" w:lineRule="exact"/>
    </w:pPr>
    <w:rPr>
      <w:rFonts w:eastAsia="Times New Roman" w:cs="Arial"/>
      <w:sz w:val="16"/>
      <w:szCs w:val="17"/>
    </w:rPr>
  </w:style>
  <w:style w:type="character" w:styleId="PlaceholderText">
    <w:name w:val="Placeholder Text"/>
    <w:basedOn w:val="DefaultParagraphFont"/>
    <w:uiPriority w:val="99"/>
    <w:semiHidden/>
    <w:locked/>
    <w:rsid w:val="00D77720"/>
    <w:rPr>
      <w:color w:val="808080"/>
    </w:rPr>
  </w:style>
  <w:style w:type="paragraph" w:customStyle="1" w:styleId="NumerallistRegular">
    <w:name w:val="Numeral list (Regular)"/>
    <w:basedOn w:val="LetteredlistRegular"/>
    <w:uiPriority w:val="15"/>
    <w:qFormat/>
    <w:rsid w:val="00953A48"/>
    <w:pPr>
      <w:numPr>
        <w:numId w:val="21"/>
      </w:numPr>
    </w:pPr>
  </w:style>
  <w:style w:type="paragraph" w:customStyle="1" w:styleId="NumerallistBold">
    <w:name w:val="Numeral list (Bold)"/>
    <w:basedOn w:val="LetteredlistBold"/>
    <w:uiPriority w:val="16"/>
    <w:qFormat/>
    <w:rsid w:val="00CD6C35"/>
    <w:pPr>
      <w:numPr>
        <w:numId w:val="20"/>
      </w:numPr>
    </w:pPr>
  </w:style>
  <w:style w:type="paragraph" w:customStyle="1" w:styleId="Sourcetext">
    <w:name w:val="Source text."/>
    <w:basedOn w:val="Normal"/>
    <w:uiPriority w:val="22"/>
    <w:qFormat/>
    <w:rsid w:val="001A51FE"/>
    <w:pPr>
      <w:spacing w:before="60" w:line="190" w:lineRule="exact"/>
    </w:pPr>
    <w:rPr>
      <w:sz w:val="16"/>
      <w:szCs w:val="17"/>
    </w:rPr>
  </w:style>
  <w:style w:type="paragraph" w:customStyle="1" w:styleId="Prussiannavyfootertextright">
    <w:name w:val="Prussian navy footer text (right)"/>
    <w:basedOn w:val="Normal"/>
    <w:uiPriority w:val="33"/>
    <w:qFormat/>
    <w:rsid w:val="0095184E"/>
    <w:pPr>
      <w:ind w:right="170"/>
      <w:jc w:val="right"/>
    </w:pPr>
    <w:rPr>
      <w:bCs/>
      <w:color w:val="001E41" w:themeColor="accent1"/>
      <w:sz w:val="16"/>
      <w:szCs w:val="16"/>
      <w:lang w:eastAsia="ja-JP"/>
    </w:rPr>
  </w:style>
  <w:style w:type="paragraph" w:customStyle="1" w:styleId="TabletextBold0">
    <w:name w:val="Table text (Bold)"/>
    <w:basedOn w:val="Tabletext"/>
    <w:uiPriority w:val="20"/>
    <w:qFormat/>
    <w:rsid w:val="00543CFC"/>
    <w:rPr>
      <w:b/>
      <w:bCs/>
      <w:color w:val="000000" w:themeColor="text1"/>
    </w:rPr>
  </w:style>
  <w:style w:type="paragraph" w:customStyle="1" w:styleId="LetteredlistRegular">
    <w:name w:val="Lettered list (Regular)"/>
    <w:uiPriority w:val="13"/>
    <w:rsid w:val="000172FF"/>
    <w:pPr>
      <w:numPr>
        <w:numId w:val="11"/>
      </w:numPr>
      <w:spacing w:after="120" w:line="240" w:lineRule="auto"/>
    </w:pPr>
    <w:rPr>
      <w:rFonts w:eastAsia="Times New Roman" w:cs="Arial"/>
      <w:color w:val="000000"/>
      <w:sz w:val="18"/>
      <w:lang w:eastAsia="ja-JP"/>
    </w:rPr>
  </w:style>
  <w:style w:type="paragraph" w:customStyle="1" w:styleId="LetteredlistBold">
    <w:name w:val="Lettered list (Bold)"/>
    <w:uiPriority w:val="14"/>
    <w:qFormat/>
    <w:rsid w:val="000172FF"/>
    <w:pPr>
      <w:numPr>
        <w:numId w:val="17"/>
      </w:numPr>
      <w:spacing w:after="120" w:line="240" w:lineRule="auto"/>
    </w:pPr>
    <w:rPr>
      <w:rFonts w:eastAsia="Times New Roman" w:cs="Arial"/>
      <w:b/>
      <w:bCs/>
      <w:color w:val="000000"/>
      <w:sz w:val="18"/>
      <w:szCs w:val="20"/>
      <w:lang w:eastAsia="ja-JP"/>
    </w:rPr>
  </w:style>
  <w:style w:type="paragraph" w:customStyle="1" w:styleId="BulletedtextRegular">
    <w:name w:val="Bulleted text (Regular)"/>
    <w:basedOn w:val="Normal"/>
    <w:uiPriority w:val="9"/>
    <w:qFormat/>
    <w:rsid w:val="005C0F02"/>
    <w:pPr>
      <w:numPr>
        <w:numId w:val="6"/>
      </w:numPr>
      <w:spacing w:after="120"/>
    </w:pPr>
    <w:rPr>
      <w:rFonts w:eastAsia="Times New Roman" w:cs="Arial"/>
      <w:sz w:val="18"/>
      <w:lang w:eastAsia="ja-JP"/>
    </w:rPr>
  </w:style>
  <w:style w:type="paragraph" w:customStyle="1" w:styleId="Bodytextforindentedparagraph">
    <w:name w:val="Body text for indented paragraph"/>
    <w:basedOn w:val="BodytextRegular"/>
    <w:qFormat/>
    <w:rsid w:val="006F71F5"/>
    <w:pPr>
      <w:ind w:left="425"/>
    </w:pPr>
    <w:rPr>
      <w:rFonts w:eastAsia="Times New Roman" w:cs="Arial"/>
    </w:rPr>
  </w:style>
  <w:style w:type="paragraph" w:customStyle="1" w:styleId="BulletedtextBold">
    <w:name w:val="Bulleted text (Bold)"/>
    <w:basedOn w:val="BulletedtextRegular"/>
    <w:uiPriority w:val="10"/>
    <w:qFormat/>
    <w:rsid w:val="00CD6C35"/>
    <w:rPr>
      <w:b/>
    </w:rPr>
  </w:style>
  <w:style w:type="paragraph" w:customStyle="1" w:styleId="NumberedlistRegular">
    <w:name w:val="Numbered list (Regular)"/>
    <w:basedOn w:val="Normal"/>
    <w:uiPriority w:val="12"/>
    <w:qFormat/>
    <w:rsid w:val="000172FF"/>
    <w:pPr>
      <w:numPr>
        <w:numId w:val="7"/>
      </w:numPr>
      <w:spacing w:after="120"/>
    </w:pPr>
    <w:rPr>
      <w:rFonts w:eastAsia="Times New Roman" w:cs="Arial"/>
      <w:sz w:val="18"/>
      <w:lang w:eastAsia="ja-JP"/>
    </w:rPr>
  </w:style>
  <w:style w:type="paragraph" w:customStyle="1" w:styleId="Paragraphheaderprussiannavy">
    <w:name w:val="Paragraph header prussian navy"/>
    <w:basedOn w:val="Normal"/>
    <w:next w:val="BodytextRegular"/>
    <w:uiPriority w:val="7"/>
    <w:qFormat/>
    <w:rsid w:val="0095184E"/>
    <w:pPr>
      <w:keepNext/>
      <w:spacing w:before="240" w:after="120"/>
    </w:pPr>
    <w:rPr>
      <w:rFonts w:ascii="Schroders Circular TT" w:hAnsi="Schroders Circular TT"/>
      <w:b/>
      <w:color w:val="001E41" w:themeColor="accent1"/>
      <w:sz w:val="20"/>
      <w:szCs w:val="24"/>
    </w:rPr>
  </w:style>
  <w:style w:type="paragraph" w:customStyle="1" w:styleId="Tabletext">
    <w:name w:val="Table text"/>
    <w:uiPriority w:val="19"/>
    <w:qFormat/>
    <w:rsid w:val="001A51FE"/>
    <w:pPr>
      <w:spacing w:before="60" w:after="60" w:line="240" w:lineRule="auto"/>
    </w:pPr>
    <w:rPr>
      <w:sz w:val="18"/>
      <w:szCs w:val="24"/>
    </w:rPr>
  </w:style>
  <w:style w:type="paragraph" w:customStyle="1" w:styleId="BodytextRegular">
    <w:name w:val="Body text (Regular)"/>
    <w:basedOn w:val="BodyText"/>
    <w:qFormat/>
    <w:rsid w:val="001A51FE"/>
    <w:rPr>
      <w:sz w:val="18"/>
      <w:szCs w:val="20"/>
    </w:rPr>
  </w:style>
  <w:style w:type="table" w:customStyle="1" w:styleId="Table">
    <w:name w:val="Table"/>
    <w:basedOn w:val="TableNormal"/>
    <w:uiPriority w:val="99"/>
    <w:locked/>
    <w:rsid w:val="00F805CD"/>
    <w:pPr>
      <w:spacing w:before="60" w:after="60" w:line="240" w:lineRule="auto"/>
    </w:pPr>
    <w:rPr>
      <w:sz w:val="18"/>
    </w:rPr>
    <w:tblPr>
      <w:tblStyleRowBandSize w:val="1"/>
      <w:tblStyleColBandSize w:val="1"/>
      <w:tblBorders>
        <w:top w:val="single" w:sz="2" w:space="0" w:color="404040" w:themeColor="text1" w:themeTint="BF"/>
        <w:bottom w:val="single" w:sz="2" w:space="0" w:color="404040" w:themeColor="text1" w:themeTint="BF"/>
        <w:insideH w:val="single" w:sz="2" w:space="0" w:color="404040" w:themeColor="text1" w:themeTint="BF"/>
      </w:tblBorders>
      <w:tblCellMar>
        <w:left w:w="74" w:type="dxa"/>
        <w:right w:w="74" w:type="dxa"/>
      </w:tblCellMar>
    </w:tblPr>
    <w:tcPr>
      <w:shd w:val="clear" w:color="auto" w:fill="auto"/>
      <w:vAlign w:val="center"/>
    </w:tcPr>
    <w:tblStylePr w:type="firstRow">
      <w:pPr>
        <w:wordWrap/>
        <w:spacing w:beforeLines="0" w:before="60" w:beforeAutospacing="0" w:afterLines="0" w:after="60" w:afterAutospacing="0" w:line="240" w:lineRule="auto"/>
      </w:pPr>
      <w:rPr>
        <w:rFonts w:asciiTheme="minorHAnsi" w:hAnsiTheme="minorHAnsi"/>
        <w:b/>
        <w:color w:val="auto"/>
        <w:sz w:val="18"/>
      </w:rPr>
      <w:tblPr/>
      <w:tcPr>
        <w:tcBorders>
          <w:top w:val="single" w:sz="2" w:space="0" w:color="404040" w:themeColor="text1" w:themeTint="BF"/>
          <w:left w:val="nil"/>
          <w:bottom w:val="single" w:sz="2" w:space="0" w:color="404040" w:themeColor="text1" w:themeTint="BF"/>
          <w:right w:val="nil"/>
          <w:insideH w:val="nil"/>
          <w:insideV w:val="nil"/>
          <w:tl2br w:val="nil"/>
          <w:tr2bl w:val="nil"/>
        </w:tcBorders>
        <w:shd w:val="clear" w:color="auto" w:fill="E5E8EC"/>
      </w:tcPr>
    </w:tblStylePr>
    <w:tblStylePr w:type="lastRow">
      <w:pPr>
        <w:wordWrap/>
        <w:spacing w:beforeLines="0" w:before="60" w:beforeAutospacing="0" w:afterLines="0" w:after="60" w:afterAutospacing="0" w:line="240" w:lineRule="auto"/>
      </w:pPr>
      <w:rPr>
        <w:rFonts w:asciiTheme="minorHAnsi" w:hAnsiTheme="minorHAnsi"/>
        <w:b/>
        <w:color w:val="auto"/>
        <w:sz w:val="18"/>
      </w:rPr>
      <w:tblPr/>
      <w:tcPr>
        <w:tcBorders>
          <w:top w:val="single" w:sz="2" w:space="0" w:color="404040" w:themeColor="text1" w:themeTint="BF"/>
          <w:left w:val="nil"/>
          <w:bottom w:val="single" w:sz="2" w:space="0" w:color="404040" w:themeColor="text1" w:themeTint="BF"/>
          <w:right w:val="nil"/>
          <w:insideH w:val="nil"/>
          <w:insideV w:val="nil"/>
          <w:tl2br w:val="nil"/>
          <w:tr2bl w:val="nil"/>
        </w:tcBorders>
        <w:shd w:val="clear" w:color="auto" w:fill="E5E8EC"/>
      </w:tcPr>
    </w:tblStylePr>
    <w:tblStylePr w:type="firstCol">
      <w:pPr>
        <w:wordWrap/>
        <w:spacing w:beforeLines="0" w:before="60" w:beforeAutospacing="0" w:afterLines="0" w:after="60" w:afterAutospacing="0" w:line="240" w:lineRule="auto"/>
        <w:jc w:val="left"/>
      </w:pPr>
      <w:rPr>
        <w:rFonts w:asciiTheme="minorHAnsi" w:hAnsiTheme="minorHAnsi"/>
        <w:b/>
        <w:color w:val="auto"/>
        <w:sz w:val="18"/>
      </w:rPr>
      <w:tblPr/>
      <w:tcPr>
        <w:shd w:val="clear" w:color="auto" w:fill="E5E8EC"/>
      </w:tcPr>
    </w:tblStylePr>
    <w:tblStylePr w:type="band1Vert">
      <w:tblPr/>
      <w:tcPr>
        <w:tcBorders>
          <w:top w:val="nil"/>
          <w:left w:val="nil"/>
          <w:bottom w:val="nil"/>
          <w:right w:val="nil"/>
          <w:insideH w:val="single" w:sz="4" w:space="0" w:color="001E41" w:themeColor="accent1"/>
          <w:insideV w:val="nil"/>
        </w:tcBorders>
      </w:tcPr>
    </w:tblStylePr>
    <w:tblStylePr w:type="band2Vert">
      <w:tblPr/>
      <w:tcPr>
        <w:tcBorders>
          <w:insideH w:val="single" w:sz="4" w:space="0" w:color="001E41" w:themeColor="accent1"/>
        </w:tcBorders>
      </w:tcPr>
    </w:tblStylePr>
    <w:tblStylePr w:type="band1Horz">
      <w:tblPr/>
      <w:tcPr>
        <w:tcBorders>
          <w:insideH w:val="nil"/>
        </w:tcBorders>
      </w:tcPr>
    </w:tblStylePr>
  </w:style>
  <w:style w:type="paragraph" w:customStyle="1" w:styleId="Level3heading">
    <w:name w:val="Level 3 heading"/>
    <w:basedOn w:val="Normal"/>
    <w:uiPriority w:val="23"/>
    <w:semiHidden/>
    <w:qFormat/>
    <w:rsid w:val="00664470"/>
    <w:pPr>
      <w:spacing w:before="120" w:after="120" w:line="300" w:lineRule="exact"/>
      <w:outlineLvl w:val="2"/>
    </w:pPr>
    <w:rPr>
      <w:rFonts w:asciiTheme="majorHAnsi" w:hAnsiTheme="majorHAnsi"/>
      <w:color w:val="A446BA" w:themeColor="text2"/>
      <w:sz w:val="24"/>
      <w:szCs w:val="20"/>
    </w:rPr>
  </w:style>
  <w:style w:type="paragraph" w:customStyle="1" w:styleId="Coverdate">
    <w:name w:val="Cover date"/>
    <w:basedOn w:val="Normal"/>
    <w:next w:val="BodyText"/>
    <w:uiPriority w:val="29"/>
    <w:qFormat/>
    <w:rsid w:val="001A51FE"/>
    <w:pPr>
      <w:spacing w:after="40"/>
    </w:pPr>
    <w:rPr>
      <w:rFonts w:ascii="Schroders Circular TT" w:hAnsi="Schroders Circular TT"/>
      <w:noProof/>
      <w:color w:val="FFFFFF" w:themeColor="background1"/>
      <w:sz w:val="24"/>
    </w:rPr>
  </w:style>
  <w:style w:type="paragraph" w:styleId="FootnoteText">
    <w:name w:val="footnote text"/>
    <w:aliases w:val="Footnote text"/>
    <w:basedOn w:val="Normal"/>
    <w:link w:val="FootnoteTextChar"/>
    <w:uiPriority w:val="23"/>
    <w:locked/>
    <w:rsid w:val="00B405C5"/>
    <w:pPr>
      <w:spacing w:before="60" w:line="190" w:lineRule="exact"/>
    </w:pPr>
    <w:rPr>
      <w:sz w:val="16"/>
      <w:szCs w:val="20"/>
    </w:rPr>
  </w:style>
  <w:style w:type="character" w:customStyle="1" w:styleId="FootnoteTextChar">
    <w:name w:val="Footnote Text Char"/>
    <w:aliases w:val="Footnote text Char"/>
    <w:basedOn w:val="DefaultParagraphFont"/>
    <w:link w:val="FootnoteText"/>
    <w:uiPriority w:val="23"/>
    <w:rsid w:val="00B405C5"/>
    <w:rPr>
      <w:sz w:val="16"/>
      <w:szCs w:val="20"/>
    </w:rPr>
  </w:style>
  <w:style w:type="character" w:styleId="FootnoteReference">
    <w:name w:val="footnote reference"/>
    <w:basedOn w:val="DefaultParagraphFont"/>
    <w:uiPriority w:val="99"/>
    <w:semiHidden/>
    <w:locked/>
    <w:rsid w:val="00D47DFF"/>
    <w:rPr>
      <w:vertAlign w:val="superscript"/>
    </w:rPr>
  </w:style>
  <w:style w:type="paragraph" w:customStyle="1" w:styleId="Tabletextbullet">
    <w:name w:val="Table text bullet"/>
    <w:basedOn w:val="Tabletext"/>
    <w:uiPriority w:val="21"/>
    <w:qFormat/>
    <w:rsid w:val="000E31CE"/>
    <w:pPr>
      <w:numPr>
        <w:numId w:val="23"/>
      </w:numPr>
      <w:ind w:left="284" w:hanging="284"/>
    </w:pPr>
  </w:style>
  <w:style w:type="numbering" w:customStyle="1" w:styleId="b17legalnumberedlist">
    <w:name w:val="b17 legal numbered list"/>
    <w:basedOn w:val="NoList"/>
    <w:uiPriority w:val="99"/>
    <w:locked/>
    <w:rsid w:val="00B7273A"/>
    <w:pPr>
      <w:numPr>
        <w:numId w:val="26"/>
      </w:numPr>
    </w:pPr>
  </w:style>
  <w:style w:type="paragraph" w:customStyle="1" w:styleId="Sub-bulletedtext">
    <w:name w:val="Sub-bulleted text"/>
    <w:basedOn w:val="BodytextRegular"/>
    <w:uiPriority w:val="11"/>
    <w:qFormat/>
    <w:rsid w:val="00953A48"/>
    <w:pPr>
      <w:numPr>
        <w:numId w:val="27"/>
      </w:numPr>
      <w:ind w:left="709" w:hanging="284"/>
    </w:pPr>
  </w:style>
  <w:style w:type="paragraph" w:customStyle="1" w:styleId="Multilevellist1">
    <w:name w:val="Multilevel list 1"/>
    <w:basedOn w:val="Normal"/>
    <w:next w:val="Multilevellistlevel2"/>
    <w:uiPriority w:val="3"/>
    <w:qFormat/>
    <w:rsid w:val="0095184E"/>
    <w:pPr>
      <w:keepNext/>
      <w:numPr>
        <w:numId w:val="35"/>
      </w:numPr>
      <w:tabs>
        <w:tab w:val="left" w:pos="3402"/>
      </w:tabs>
      <w:spacing w:before="240" w:after="120"/>
      <w:ind w:left="425" w:hanging="425"/>
      <w:outlineLvl w:val="0"/>
    </w:pPr>
    <w:rPr>
      <w:rFonts w:ascii="Schroders Circular TT" w:hAnsi="Schroders Circular TT"/>
      <w:color w:val="001E41" w:themeColor="accent1"/>
      <w:sz w:val="20"/>
    </w:rPr>
  </w:style>
  <w:style w:type="paragraph" w:customStyle="1" w:styleId="Multilevellistlevel2">
    <w:name w:val="Multilevel list level 2"/>
    <w:basedOn w:val="Normal"/>
    <w:next w:val="Multilevellistlevel3"/>
    <w:uiPriority w:val="5"/>
    <w:qFormat/>
    <w:rsid w:val="0095184E"/>
    <w:pPr>
      <w:keepNext/>
      <w:numPr>
        <w:ilvl w:val="1"/>
        <w:numId w:val="35"/>
      </w:numPr>
      <w:spacing w:before="120" w:after="120"/>
      <w:ind w:left="425" w:hanging="425"/>
      <w:outlineLvl w:val="1"/>
    </w:pPr>
    <w:rPr>
      <w:rFonts w:ascii="Schroders Circular TT" w:hAnsi="Schroders Circular TT"/>
      <w:color w:val="001E41" w:themeColor="accent1"/>
      <w:sz w:val="20"/>
    </w:rPr>
  </w:style>
  <w:style w:type="paragraph" w:customStyle="1" w:styleId="Multilevellistlevel3">
    <w:name w:val="Multilevel list level 3"/>
    <w:basedOn w:val="BodytextRegular"/>
    <w:uiPriority w:val="6"/>
    <w:qFormat/>
    <w:rsid w:val="00953A48"/>
    <w:pPr>
      <w:numPr>
        <w:ilvl w:val="2"/>
        <w:numId w:val="35"/>
      </w:numPr>
    </w:pPr>
  </w:style>
  <w:style w:type="paragraph" w:customStyle="1" w:styleId="Multilevellistlevel4">
    <w:name w:val="Multilevel list level 4"/>
    <w:basedOn w:val="BodytextRegular"/>
    <w:uiPriority w:val="7"/>
    <w:qFormat/>
    <w:rsid w:val="00953A48"/>
    <w:pPr>
      <w:numPr>
        <w:ilvl w:val="3"/>
        <w:numId w:val="35"/>
      </w:numPr>
    </w:pPr>
  </w:style>
  <w:style w:type="table" w:styleId="LightShading-Accent4">
    <w:name w:val="Light Shading Accent 4"/>
    <w:basedOn w:val="TableNormal"/>
    <w:uiPriority w:val="60"/>
    <w:locked/>
    <w:rsid w:val="00251481"/>
    <w:pPr>
      <w:spacing w:after="0" w:line="240" w:lineRule="auto"/>
    </w:pPr>
    <w:rPr>
      <w:color w:val="5D2964" w:themeColor="accent4" w:themeShade="BF"/>
    </w:rPr>
    <w:tblPr>
      <w:tblStyleRowBandSize w:val="1"/>
      <w:tblStyleColBandSize w:val="1"/>
      <w:tblBorders>
        <w:top w:val="single" w:sz="8" w:space="0" w:color="7D3787" w:themeColor="accent4"/>
        <w:bottom w:val="single" w:sz="8" w:space="0" w:color="7D3787" w:themeColor="accent4"/>
      </w:tblBorders>
    </w:tblPr>
    <w:tblStylePr w:type="firstRow">
      <w:pPr>
        <w:spacing w:before="0" w:after="0" w:line="240" w:lineRule="auto"/>
      </w:pPr>
      <w:rPr>
        <w:b/>
        <w:bCs/>
      </w:rPr>
      <w:tblPr/>
      <w:tcPr>
        <w:tcBorders>
          <w:top w:val="single" w:sz="8" w:space="0" w:color="7D3787" w:themeColor="accent4"/>
          <w:left w:val="nil"/>
          <w:bottom w:val="single" w:sz="8" w:space="0" w:color="7D3787" w:themeColor="accent4"/>
          <w:right w:val="nil"/>
          <w:insideH w:val="nil"/>
          <w:insideV w:val="nil"/>
        </w:tcBorders>
      </w:tcPr>
    </w:tblStylePr>
    <w:tblStylePr w:type="lastRow">
      <w:pPr>
        <w:spacing w:before="0" w:after="0" w:line="240" w:lineRule="auto"/>
      </w:pPr>
      <w:rPr>
        <w:b/>
        <w:bCs/>
      </w:rPr>
      <w:tblPr/>
      <w:tcPr>
        <w:tcBorders>
          <w:top w:val="single" w:sz="8" w:space="0" w:color="7D3787" w:themeColor="accent4"/>
          <w:left w:val="nil"/>
          <w:bottom w:val="single" w:sz="8" w:space="0" w:color="7D378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C6E8" w:themeFill="accent4" w:themeFillTint="3F"/>
      </w:tcPr>
    </w:tblStylePr>
    <w:tblStylePr w:type="band1Horz">
      <w:tblPr/>
      <w:tcPr>
        <w:tcBorders>
          <w:left w:val="nil"/>
          <w:right w:val="nil"/>
          <w:insideH w:val="nil"/>
          <w:insideV w:val="nil"/>
        </w:tcBorders>
        <w:shd w:val="clear" w:color="auto" w:fill="E3C6E8" w:themeFill="accent4" w:themeFillTint="3F"/>
      </w:tcPr>
    </w:tblStylePr>
  </w:style>
  <w:style w:type="paragraph" w:customStyle="1" w:styleId="Chartandtabletitle">
    <w:name w:val="Chart and table title"/>
    <w:basedOn w:val="Paragraphheaderprussiannavy"/>
    <w:uiPriority w:val="17"/>
    <w:qFormat/>
    <w:rsid w:val="0046623B"/>
    <w:pPr>
      <w:spacing w:after="60"/>
    </w:pPr>
  </w:style>
  <w:style w:type="character" w:styleId="IntenseReference">
    <w:name w:val="Intense Reference"/>
    <w:basedOn w:val="DefaultParagraphFont"/>
    <w:uiPriority w:val="32"/>
    <w:semiHidden/>
    <w:qFormat/>
    <w:locked/>
    <w:rsid w:val="00AD758E"/>
    <w:rPr>
      <w:b/>
      <w:bCs/>
      <w:smallCaps/>
      <w:color w:val="0074B7" w:themeColor="accent3"/>
      <w:spacing w:val="5"/>
      <w:u w:val="single"/>
    </w:rPr>
  </w:style>
  <w:style w:type="character" w:styleId="SubtleReference">
    <w:name w:val="Subtle Reference"/>
    <w:basedOn w:val="DefaultParagraphFont"/>
    <w:uiPriority w:val="31"/>
    <w:semiHidden/>
    <w:qFormat/>
    <w:locked/>
    <w:rsid w:val="00AD758E"/>
    <w:rPr>
      <w:smallCaps/>
      <w:color w:val="0074B7" w:themeColor="accent3"/>
      <w:u w:val="single"/>
    </w:rPr>
  </w:style>
  <w:style w:type="character" w:styleId="FollowedHyperlink">
    <w:name w:val="FollowedHyperlink"/>
    <w:basedOn w:val="DefaultParagraphFont"/>
    <w:uiPriority w:val="99"/>
    <w:semiHidden/>
    <w:locked/>
    <w:rsid w:val="00AD758E"/>
    <w:rPr>
      <w:color w:val="0074B7" w:themeColor="accent3"/>
      <w:u w:val="single"/>
    </w:rPr>
  </w:style>
  <w:style w:type="table" w:styleId="GridTable1Light">
    <w:name w:val="Grid Table 1 Light"/>
    <w:basedOn w:val="TableNormal"/>
    <w:uiPriority w:val="46"/>
    <w:rsid w:val="004448D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448D5"/>
    <w:pPr>
      <w:spacing w:after="0" w:line="240" w:lineRule="auto"/>
    </w:pPr>
    <w:tblPr>
      <w:tblStyleRowBandSize w:val="1"/>
      <w:tblStyleColBandSize w:val="1"/>
      <w:tblBorders>
        <w:top w:val="single" w:sz="4" w:space="0" w:color="7CCEFF" w:themeColor="accent3" w:themeTint="66"/>
        <w:left w:val="single" w:sz="4" w:space="0" w:color="7CCEFF" w:themeColor="accent3" w:themeTint="66"/>
        <w:bottom w:val="single" w:sz="4" w:space="0" w:color="7CCEFF" w:themeColor="accent3" w:themeTint="66"/>
        <w:right w:val="single" w:sz="4" w:space="0" w:color="7CCEFF" w:themeColor="accent3" w:themeTint="66"/>
        <w:insideH w:val="single" w:sz="4" w:space="0" w:color="7CCEFF" w:themeColor="accent3" w:themeTint="66"/>
        <w:insideV w:val="single" w:sz="4" w:space="0" w:color="7CCEFF" w:themeColor="accent3" w:themeTint="66"/>
      </w:tblBorders>
    </w:tblPr>
    <w:tblStylePr w:type="firstRow">
      <w:rPr>
        <w:b/>
        <w:bCs/>
      </w:rPr>
      <w:tblPr/>
      <w:tcPr>
        <w:tcBorders>
          <w:bottom w:val="single" w:sz="12" w:space="0" w:color="3AB6FF" w:themeColor="accent3" w:themeTint="99"/>
        </w:tcBorders>
      </w:tcPr>
    </w:tblStylePr>
    <w:tblStylePr w:type="lastRow">
      <w:rPr>
        <w:b/>
        <w:bCs/>
      </w:rPr>
      <w:tblPr/>
      <w:tcPr>
        <w:tcBorders>
          <w:top w:val="double" w:sz="2" w:space="0" w:color="3AB6FF" w:themeColor="accent3" w:themeTint="99"/>
        </w:tcBorders>
      </w:tcPr>
    </w:tblStylePr>
    <w:tblStylePr w:type="firstCol">
      <w:rPr>
        <w:b/>
        <w:bCs/>
      </w:rPr>
    </w:tblStylePr>
    <w:tblStylePr w:type="lastCol">
      <w:rPr>
        <w:b/>
        <w:bCs/>
      </w:rPr>
    </w:tblStylePr>
  </w:style>
  <w:style w:type="table" w:styleId="PlainTable5">
    <w:name w:val="Plain Table 5"/>
    <w:basedOn w:val="TableNormal"/>
    <w:uiPriority w:val="45"/>
    <w:rsid w:val="00A70B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overdisclaimer">
    <w:name w:val="Cover disclaimer"/>
    <w:basedOn w:val="Normal"/>
    <w:uiPriority w:val="26"/>
    <w:qFormat/>
    <w:rsid w:val="0095184E"/>
    <w:pPr>
      <w:tabs>
        <w:tab w:val="center" w:pos="4513"/>
        <w:tab w:val="right" w:pos="9026"/>
      </w:tabs>
      <w:spacing w:after="40"/>
    </w:pPr>
    <w:rPr>
      <w:rFonts w:cstheme="minorHAnsi"/>
      <w:noProof/>
      <w:color w:val="FFFFFF" w:themeColor="background1"/>
      <w:sz w:val="17"/>
      <w:szCs w:val="18"/>
    </w:rPr>
  </w:style>
  <w:style w:type="paragraph" w:customStyle="1" w:styleId="BodytextBold">
    <w:name w:val="Body text (Bold)"/>
    <w:basedOn w:val="BodytextRegular"/>
    <w:uiPriority w:val="1"/>
    <w:qFormat/>
    <w:rsid w:val="001A51FE"/>
    <w:rPr>
      <w:b/>
    </w:rPr>
  </w:style>
  <w:style w:type="paragraph" w:customStyle="1" w:styleId="NumberedlistBold">
    <w:name w:val="Numbered list (Bold)"/>
    <w:basedOn w:val="NumberedlistRegular"/>
    <w:uiPriority w:val="12"/>
    <w:qFormat/>
    <w:rsid w:val="000172FF"/>
    <w:rPr>
      <w:b/>
    </w:rPr>
  </w:style>
  <w:style w:type="paragraph" w:styleId="Header">
    <w:name w:val="header"/>
    <w:basedOn w:val="Normal"/>
    <w:link w:val="HeaderChar"/>
    <w:uiPriority w:val="99"/>
    <w:unhideWhenUsed/>
    <w:rsid w:val="000172FF"/>
    <w:pPr>
      <w:tabs>
        <w:tab w:val="center" w:pos="4513"/>
        <w:tab w:val="right" w:pos="9026"/>
      </w:tabs>
    </w:pPr>
    <w:rPr>
      <w:sz w:val="18"/>
    </w:rPr>
  </w:style>
  <w:style w:type="character" w:customStyle="1" w:styleId="HeaderChar">
    <w:name w:val="Header Char"/>
    <w:basedOn w:val="DefaultParagraphFont"/>
    <w:link w:val="Header"/>
    <w:uiPriority w:val="99"/>
    <w:rsid w:val="000172FF"/>
    <w:rPr>
      <w:sz w:val="18"/>
    </w:rPr>
  </w:style>
  <w:style w:type="paragraph" w:customStyle="1" w:styleId="Tabletextsub-bullet">
    <w:name w:val="Table text sub-bullet"/>
    <w:basedOn w:val="Tabletextbullet"/>
    <w:uiPriority w:val="21"/>
    <w:qFormat/>
    <w:rsid w:val="002D6067"/>
    <w:pPr>
      <w:ind w:left="568"/>
    </w:pPr>
  </w:style>
  <w:style w:type="character" w:styleId="UnresolvedMention">
    <w:name w:val="Unresolved Mention"/>
    <w:basedOn w:val="DefaultParagraphFont"/>
    <w:uiPriority w:val="99"/>
    <w:semiHidden/>
    <w:rsid w:val="00E76134"/>
    <w:rPr>
      <w:color w:val="605E5C"/>
      <w:shd w:val="clear" w:color="auto" w:fill="E1DFDD"/>
    </w:rPr>
  </w:style>
  <w:style w:type="paragraph" w:styleId="Revision">
    <w:name w:val="Revision"/>
    <w:hidden/>
    <w:uiPriority w:val="99"/>
    <w:semiHidden/>
    <w:rsid w:val="00156A61"/>
    <w:pPr>
      <w:spacing w:after="0" w:line="240" w:lineRule="auto"/>
    </w:pPr>
    <w:rPr>
      <w:sz w:val="19"/>
    </w:rPr>
  </w:style>
  <w:style w:type="paragraph" w:styleId="Footer">
    <w:name w:val="footer"/>
    <w:basedOn w:val="Normal"/>
    <w:link w:val="FooterChar"/>
    <w:uiPriority w:val="99"/>
    <w:unhideWhenUsed/>
    <w:qFormat/>
    <w:rsid w:val="000172FF"/>
    <w:pPr>
      <w:tabs>
        <w:tab w:val="center" w:pos="4680"/>
        <w:tab w:val="right" w:pos="9360"/>
      </w:tabs>
    </w:pPr>
    <w:rPr>
      <w:sz w:val="18"/>
    </w:rPr>
  </w:style>
  <w:style w:type="character" w:customStyle="1" w:styleId="FooterChar">
    <w:name w:val="Footer Char"/>
    <w:basedOn w:val="DefaultParagraphFont"/>
    <w:link w:val="Footer"/>
    <w:uiPriority w:val="99"/>
    <w:rsid w:val="000172FF"/>
    <w:rPr>
      <w:sz w:val="18"/>
    </w:rPr>
  </w:style>
  <w:style w:type="paragraph" w:styleId="CommentText">
    <w:name w:val="annotation text"/>
    <w:basedOn w:val="Normal"/>
    <w:link w:val="CommentTextChar"/>
    <w:uiPriority w:val="99"/>
    <w:locked/>
    <w:rsid w:val="004D385C"/>
    <w:rPr>
      <w:sz w:val="20"/>
      <w:szCs w:val="20"/>
    </w:rPr>
  </w:style>
  <w:style w:type="character" w:customStyle="1" w:styleId="CommentTextChar">
    <w:name w:val="Comment Text Char"/>
    <w:basedOn w:val="DefaultParagraphFont"/>
    <w:link w:val="CommentText"/>
    <w:uiPriority w:val="99"/>
    <w:rsid w:val="004D385C"/>
    <w:rPr>
      <w:sz w:val="20"/>
      <w:szCs w:val="20"/>
    </w:rPr>
  </w:style>
  <w:style w:type="character" w:styleId="CommentReference">
    <w:name w:val="annotation reference"/>
    <w:basedOn w:val="DefaultParagraphFont"/>
    <w:uiPriority w:val="99"/>
    <w:semiHidden/>
    <w:locked/>
    <w:rsid w:val="004D385C"/>
    <w:rPr>
      <w:sz w:val="16"/>
      <w:szCs w:val="16"/>
    </w:rPr>
  </w:style>
  <w:style w:type="paragraph" w:customStyle="1" w:styleId="Paragraphsubtitledeepcerulean">
    <w:name w:val="Paragraph subtitle deep cerulean"/>
    <w:basedOn w:val="BodyText"/>
    <w:next w:val="BodytextRegular"/>
    <w:uiPriority w:val="8"/>
    <w:qFormat/>
    <w:rsid w:val="0095184E"/>
    <w:pPr>
      <w:keepNext/>
      <w:spacing w:before="120"/>
    </w:pPr>
    <w:rPr>
      <w:rFonts w:ascii="Schroders Circular TT" w:hAnsi="Schroders Circular TT"/>
      <w:color w:val="00A2B5" w:themeColor="background2"/>
      <w:sz w:val="20"/>
      <w:szCs w:val="24"/>
    </w:rPr>
  </w:style>
  <w:style w:type="paragraph" w:customStyle="1" w:styleId="PageNumber1">
    <w:name w:val="Page Number1"/>
    <w:basedOn w:val="Normal"/>
    <w:uiPriority w:val="39"/>
    <w:qFormat/>
    <w:rsid w:val="0095184E"/>
    <w:pPr>
      <w:jc w:val="right"/>
    </w:pPr>
    <w:rPr>
      <w:b/>
      <w:bCs/>
      <w:color w:val="001E41" w:themeColor="accen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335420">
      <w:bodyDiv w:val="1"/>
      <w:marLeft w:val="0"/>
      <w:marRight w:val="0"/>
      <w:marTop w:val="0"/>
      <w:marBottom w:val="0"/>
      <w:divBdr>
        <w:top w:val="none" w:sz="0" w:space="0" w:color="auto"/>
        <w:left w:val="none" w:sz="0" w:space="0" w:color="auto"/>
        <w:bottom w:val="none" w:sz="0" w:space="0" w:color="auto"/>
        <w:right w:val="none" w:sz="0" w:space="0" w:color="auto"/>
      </w:divBdr>
    </w:div>
    <w:div w:id="937451031">
      <w:bodyDiv w:val="1"/>
      <w:marLeft w:val="0"/>
      <w:marRight w:val="0"/>
      <w:marTop w:val="0"/>
      <w:marBottom w:val="0"/>
      <w:divBdr>
        <w:top w:val="none" w:sz="0" w:space="0" w:color="auto"/>
        <w:left w:val="none" w:sz="0" w:space="0" w:color="auto"/>
        <w:bottom w:val="none" w:sz="0" w:space="0" w:color="auto"/>
        <w:right w:val="none" w:sz="0" w:space="0" w:color="auto"/>
      </w:divBdr>
      <w:divsChild>
        <w:div w:id="1033768715">
          <w:marLeft w:val="403"/>
          <w:marRight w:val="0"/>
          <w:marTop w:val="40"/>
          <w:marBottom w:val="40"/>
          <w:divBdr>
            <w:top w:val="none" w:sz="0" w:space="0" w:color="auto"/>
            <w:left w:val="none" w:sz="0" w:space="0" w:color="auto"/>
            <w:bottom w:val="none" w:sz="0" w:space="0" w:color="auto"/>
            <w:right w:val="none" w:sz="0" w:space="0" w:color="auto"/>
          </w:divBdr>
        </w:div>
      </w:divsChild>
    </w:div>
    <w:div w:id="1211841490">
      <w:bodyDiv w:val="1"/>
      <w:marLeft w:val="0"/>
      <w:marRight w:val="0"/>
      <w:marTop w:val="0"/>
      <w:marBottom w:val="0"/>
      <w:divBdr>
        <w:top w:val="none" w:sz="0" w:space="0" w:color="auto"/>
        <w:left w:val="none" w:sz="0" w:space="0" w:color="auto"/>
        <w:bottom w:val="none" w:sz="0" w:space="0" w:color="auto"/>
        <w:right w:val="none" w:sz="0" w:space="0" w:color="auto"/>
      </w:divBdr>
    </w:div>
    <w:div w:id="1284388970">
      <w:bodyDiv w:val="1"/>
      <w:marLeft w:val="0"/>
      <w:marRight w:val="0"/>
      <w:marTop w:val="0"/>
      <w:marBottom w:val="0"/>
      <w:divBdr>
        <w:top w:val="none" w:sz="0" w:space="0" w:color="auto"/>
        <w:left w:val="none" w:sz="0" w:space="0" w:color="auto"/>
        <w:bottom w:val="none" w:sz="0" w:space="0" w:color="auto"/>
        <w:right w:val="none" w:sz="0" w:space="0" w:color="auto"/>
      </w:divBdr>
    </w:div>
    <w:div w:id="182395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sci.com" TargetMode="External"/><Relationship Id="rId4" Type="http://schemas.openxmlformats.org/officeDocument/2006/relationships/settings" Target="settings.xml"/><Relationship Id="rId9" Type="http://schemas.openxmlformats.org/officeDocument/2006/relationships/hyperlink" Target="https://www.schroders.com/en/global/individual/sustainability/sustainability-policies-disclosures-and-reports/"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zelal\AppData\Local\Temp\4ac7ef65-448c-41f7-a179-596e72978864_transfer%20(4).zip.864\Schroders_Fund%20Factsheet_A4_Temp_V2.dotx" TargetMode="External"/></Relationships>
</file>

<file path=word/theme/theme1.xml><?xml version="1.0" encoding="utf-8"?>
<a:theme xmlns:a="http://schemas.openxmlformats.org/drawingml/2006/main" name="Core">
  <a:themeElements>
    <a:clrScheme name="Schroders template latest">
      <a:dk1>
        <a:srgbClr val="000000"/>
      </a:dk1>
      <a:lt1>
        <a:srgbClr val="FFFFFF"/>
      </a:lt1>
      <a:dk2>
        <a:srgbClr val="A446BA"/>
      </a:dk2>
      <a:lt2>
        <a:srgbClr val="00A2B5"/>
      </a:lt2>
      <a:accent1>
        <a:srgbClr val="001E41"/>
      </a:accent1>
      <a:accent2>
        <a:srgbClr val="63C532"/>
      </a:accent2>
      <a:accent3>
        <a:srgbClr val="0074B7"/>
      </a:accent3>
      <a:accent4>
        <a:srgbClr val="7D3787"/>
      </a:accent4>
      <a:accent5>
        <a:srgbClr val="BAE659"/>
      </a:accent5>
      <a:accent6>
        <a:srgbClr val="00796D"/>
      </a:accent6>
      <a:hlink>
        <a:srgbClr val="0074B7"/>
      </a:hlink>
      <a:folHlink>
        <a:srgbClr val="00A2B5"/>
      </a:folHlink>
    </a:clrScheme>
    <a:fontScheme name="Schroders Word">
      <a:majorFont>
        <a:latin typeface="Schroders Circular TT"/>
        <a:ea typeface=""/>
        <a:cs typeface=""/>
      </a:majorFont>
      <a:minorFont>
        <a:latin typeface="Noto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a:noFill/>
        </a:ln>
      </a:spPr>
      <a:bodyPr rtlCol="0" anchor="ctr"/>
      <a:lstStyle>
        <a:defPPr algn="ctr">
          <a:defRPr sz="1200" dirty="0"/>
        </a:defPPr>
      </a:lstStyle>
      <a:style>
        <a:lnRef idx="2">
          <a:schemeClr val="accent1">
            <a:shade val="50000"/>
          </a:schemeClr>
        </a:lnRef>
        <a:fillRef idx="1">
          <a:schemeClr val="accent1"/>
        </a:fillRef>
        <a:effectRef idx="0">
          <a:schemeClr val="accent1"/>
        </a:effectRef>
        <a:fontRef idx="minor">
          <a:schemeClr val="lt1"/>
        </a:fontRef>
      </a:style>
    </a:spDef>
    <a:lnDef>
      <a:spPr>
        <a:noFill/>
        <a:ln w="9525">
          <a:solidFill>
            <a:schemeClr val="tx1"/>
          </a:solidFill>
          <a:headEnd type="none" w="med" len="med"/>
          <a:tailEnd type="none" w="med" len="med"/>
        </a:ln>
      </a:spPr>
      <a:bodyPr/>
      <a:lstStyle/>
      <a:style>
        <a:lnRef idx="2">
          <a:schemeClr val="accent1">
            <a:shade val="50000"/>
          </a:schemeClr>
        </a:lnRef>
        <a:fillRef idx="1">
          <a:schemeClr val="accent1"/>
        </a:fillRef>
        <a:effectRef idx="0">
          <a:schemeClr val="accent1"/>
        </a:effectRef>
        <a:fontRef idx="minor">
          <a:schemeClr val="lt1"/>
        </a:fontRef>
      </a:style>
    </a:lnDef>
    <a:txDef>
      <a:spPr>
        <a:noFill/>
      </a:spPr>
      <a:bodyPr wrap="square" lIns="0" tIns="0" rIns="0" bIns="0" rtlCol="0">
        <a:spAutoFit/>
      </a:bodyPr>
      <a:lstStyle>
        <a:defPPr algn="l">
          <a:defRPr sz="1400" dirty="0" err="1" smtClean="0">
            <a:latin typeface="+mn-lt"/>
          </a:defRPr>
        </a:defPPr>
      </a:lstStyle>
    </a:txDef>
  </a:objectDefaults>
  <a:extraClrSchemeLst/>
  <a:custClrLst>
    <a:custClr name="Prussian Navy">
      <a:srgbClr val="001E41"/>
    </a:custClr>
    <a:custClr name="Bright blue">
      <a:srgbClr val="0074B7"/>
    </a:custClr>
    <a:custClr name="Deep Cerulean">
      <a:srgbClr val="00A2B5"/>
    </a:custClr>
    <a:custClr name="Dark green">
      <a:srgbClr val="00796D"/>
    </a:custClr>
    <a:custClr name="Mid green">
      <a:srgbClr val="63C532"/>
    </a:custClr>
    <a:custClr name="Light green">
      <a:srgbClr val="BAE659"/>
    </a:custClr>
    <a:custClr name="Dark purple">
      <a:srgbClr val="4F3398"/>
    </a:custClr>
    <a:custClr name="Mid purple">
      <a:srgbClr val="7D3787"/>
    </a:custClr>
    <a:custClr name="Light purple">
      <a:srgbClr val="A446BA"/>
    </a:custClr>
    <a:custClr name="Dark pink">
      <a:srgbClr val="B71962"/>
    </a:custClr>
    <a:custClr name="Mid pink">
      <a:srgbClr val="DF536A"/>
    </a:custClr>
    <a:custClr name="Light pink">
      <a:srgbClr val="FF90A1"/>
    </a:custClr>
    <a:custClr name="Dark orange">
      <a:srgbClr val="EA5204"/>
    </a:custClr>
    <a:custClr name="Mid orange">
      <a:srgbClr val="F8A908"/>
    </a:custClr>
    <a:custClr name="Light orange">
      <a:srgbClr val="FFDC53"/>
    </a:custClr>
    <a:custClr name="Red">
      <a:srgbClr val="E00716"/>
    </a:custClr>
    <a:custClr name="Light Grey highlight">
      <a:srgbClr val="DCE1E5"/>
    </a:custClr>
  </a:custClrLst>
  <a:extLst>
    <a:ext uri="{05A4C25C-085E-4340-85A3-A5531E510DB2}">
      <thm15:themeFamily xmlns:thm15="http://schemas.microsoft.com/office/thememl/2012/main" name="Core" id="{FC937D77-274E-48BF-B222-0FE8C3B8DE7B}" vid="{F68DEEAB-50A4-40AE-8C56-9FF131A8214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AllExternalAdhocVariableMappings/>
</file>

<file path=customXml/itemProps1.xml><?xml version="1.0" encoding="utf-8"?>
<ds:datastoreItem xmlns:ds="http://schemas.openxmlformats.org/officeDocument/2006/customXml" ds:itemID="{22C790B5-5264-4430-B5F1-D4BC63AB42F3}">
  <ds:schemaRefs/>
</ds:datastoreItem>
</file>

<file path=docProps/app.xml><?xml version="1.0" encoding="utf-8"?>
<Properties xmlns="http://schemas.openxmlformats.org/officeDocument/2006/extended-properties" xmlns:vt="http://schemas.openxmlformats.org/officeDocument/2006/docPropsVTypes">
  <Template>Schroders_Fund Factsheet_A4_Temp_V2</Template>
  <TotalTime>3</TotalTime>
  <Pages>8</Pages>
  <Words>5973</Words>
  <Characters>33152</Characters>
  <Application>Microsoft Office Word</Application>
  <DocSecurity>0</DocSecurity>
  <Lines>460</Lines>
  <Paragraphs>205</Paragraphs>
  <ScaleCrop>false</ScaleCrop>
  <HeadingPairs>
    <vt:vector size="2" baseType="variant">
      <vt:variant>
        <vt:lpstr>Title</vt:lpstr>
      </vt:variant>
      <vt:variant>
        <vt:i4>1</vt:i4>
      </vt:variant>
    </vt:vector>
  </HeadingPairs>
  <TitlesOfParts>
    <vt:vector size="1" baseType="lpstr">
      <vt:lpstr>[[fundname]]</vt:lpstr>
    </vt:vector>
  </TitlesOfParts>
  <Company>Schroders Investment Management</Company>
  <LinksUpToDate>false</LinksUpToDate>
  <CharactersWithSpaces>38920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[[fundname]]</dc:title>
  <dc:subject/>
  <dc:creator>Sizeland, Lisa</dc:creator>
  <cp:keywords/>
  <dc:description/>
  <cp:lastModifiedBy>Bailey, Connor</cp:lastModifiedBy>
  <cp:revision>2</cp:revision>
  <cp:lastPrinted>2025-02-25T16:54:00Z</cp:lastPrinted>
  <dcterms:created xsi:type="dcterms:W3CDTF">2026-07-24T09:12:00Z</dcterms:created>
  <dcterms:modified xsi:type="dcterms:W3CDTF">2026-07-24T09:12:00Z</dcterms:modified>
  <cp:category>Document title with one line</cp:category>
  <cp:contentStatus>[Insert a Date]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0x010100A8101AE86B09AA42911FCC6E265D4503</vt:lpwstr>
  </property>
</Properties>
</file>