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22"/>
      </w:tblGrid>
      <w:tr w:rsidR="00283EFA" w:rsidRPr="00D32BF3" w14:paraId="6FE71B15" w14:textId="77777777" w:rsidTr="00D32BF3">
        <w:trPr>
          <w:trHeight w:hRule="exact" w:val="476"/>
        </w:trPr>
        <w:tc>
          <w:tcPr>
            <w:tcW w:w="10441" w:type="dxa"/>
            <w:shd w:val="clear" w:color="auto" w:fill="auto"/>
          </w:tcPr>
          <w:p w14:paraId="444D98AE" w14:textId="03463C90" w:rsidR="00283EFA" w:rsidRPr="00D32BF3" w:rsidRDefault="005D1DEE" w:rsidP="00283EFA">
            <w:pPr>
              <w:rPr>
                <w:noProof/>
                <w:lang w:eastAsia="en-GB"/>
              </w:rPr>
            </w:pPr>
            <w:r>
              <w:rPr>
                <w:noProof/>
                <w:lang w:eastAsia="en-GB"/>
              </w:rPr>
              <w:t xml:space="preserve"> </w:t>
            </w:r>
          </w:p>
        </w:tc>
      </w:tr>
      <w:tr w:rsidR="003F4372" w:rsidRPr="00D32BF3" w14:paraId="58C84F20" w14:textId="77777777" w:rsidTr="00D32BF3">
        <w:trPr>
          <w:trHeight w:hRule="exact" w:val="1536"/>
        </w:trPr>
        <w:tc>
          <w:tcPr>
            <w:tcW w:w="10441" w:type="dxa"/>
            <w:shd w:val="clear" w:color="auto" w:fill="auto"/>
            <w:vAlign w:val="center"/>
          </w:tcPr>
          <w:p w14:paraId="1006E699" w14:textId="0024AD81" w:rsidR="009F59AF" w:rsidRPr="00D32BF3" w:rsidRDefault="00E7759E" w:rsidP="00BD4EC8">
            <w:pPr>
              <w:pStyle w:val="B17MastheadTitle"/>
            </w:pPr>
            <w:bookmarkStart w:id="0" w:name="_Toc474410756"/>
            <w:r w:rsidRPr="00D32BF3">
              <w:t xml:space="preserve">Schroder </w:t>
            </w:r>
            <w:r w:rsidR="00027EFC" w:rsidRPr="00D32BF3">
              <w:t xml:space="preserve">ISF* </w:t>
            </w:r>
            <w:r w:rsidRPr="00D32BF3">
              <w:t>E</w:t>
            </w:r>
            <w:r w:rsidR="00027EFC" w:rsidRPr="00D32BF3">
              <w:t xml:space="preserve">URO </w:t>
            </w:r>
            <w:r w:rsidR="00B05D18" w:rsidRPr="00D32BF3">
              <w:t>Credit Conviction</w:t>
            </w:r>
            <w:r w:rsidR="00662013">
              <w:t xml:space="preserve"> Short Duration</w:t>
            </w:r>
          </w:p>
          <w:p w14:paraId="09B751C3" w14:textId="0F96BE93" w:rsidR="00E7759E" w:rsidRPr="00D32BF3" w:rsidRDefault="00AE2132" w:rsidP="005503CF">
            <w:pPr>
              <w:pStyle w:val="B17MastheadSmallSubtitle"/>
            </w:pPr>
            <w:r w:rsidRPr="00D32BF3">
              <w:t xml:space="preserve">Fund </w:t>
            </w:r>
            <w:r w:rsidR="0055783F" w:rsidRPr="00D32BF3">
              <w:t>M</w:t>
            </w:r>
            <w:r w:rsidRPr="00D32BF3">
              <w:t xml:space="preserve">anager: </w:t>
            </w:r>
            <w:r w:rsidR="00164E97" w:rsidRPr="00D32BF3">
              <w:t>Patrick Vogel</w:t>
            </w:r>
            <w:r w:rsidR="00417C1C" w:rsidRPr="00D32BF3">
              <w:t xml:space="preserve"> </w:t>
            </w:r>
            <w:r w:rsidRPr="00D32BF3">
              <w:t xml:space="preserve">| Fund update: </w:t>
            </w:r>
            <w:r w:rsidR="000F0152">
              <w:t xml:space="preserve">March </w:t>
            </w:r>
            <w:r w:rsidRPr="00D32BF3">
              <w:t>202</w:t>
            </w:r>
            <w:r w:rsidR="007D4C28">
              <w:t>4</w:t>
            </w:r>
          </w:p>
        </w:tc>
      </w:tr>
    </w:tbl>
    <w:p w14:paraId="17905BB0" w14:textId="77777777" w:rsidR="00F83AFE" w:rsidRPr="00B76737" w:rsidRDefault="00F83AFE" w:rsidP="00B831A3">
      <w:pPr>
        <w:pStyle w:val="B17BodyText"/>
      </w:pPr>
    </w:p>
    <w:p w14:paraId="181A3958" w14:textId="77777777" w:rsidR="00B831A3" w:rsidRDefault="00B831A3" w:rsidP="001C7C75">
      <w:pPr>
        <w:pStyle w:val="B17SectionHeading14ptUnderscore"/>
        <w:sectPr w:rsidR="00B831A3" w:rsidSect="00A74599">
          <w:footerReference w:type="even" r:id="rId34"/>
          <w:footerReference w:type="default" r:id="rId35"/>
          <w:headerReference w:type="first" r:id="rId36"/>
          <w:footerReference w:type="first" r:id="rId37"/>
          <w:type w:val="continuous"/>
          <w:pgSz w:w="11906" w:h="16838" w:code="9"/>
          <w:pgMar w:top="624" w:right="992" w:bottom="851" w:left="992" w:header="709" w:footer="284" w:gutter="0"/>
          <w:cols w:space="284"/>
          <w:titlePg/>
          <w:docGrid w:linePitch="360"/>
        </w:sectPr>
      </w:pPr>
    </w:p>
    <w:p w14:paraId="4116A69B" w14:textId="77777777" w:rsidR="00942BD1" w:rsidRPr="00942BD1" w:rsidRDefault="00942BD1" w:rsidP="00942BD1">
      <w:pPr>
        <w:spacing w:after="0"/>
        <w:rPr>
          <w:sz w:val="2"/>
        </w:rPr>
      </w:pPr>
    </w:p>
    <w:p w14:paraId="1D0266A5" w14:textId="77777777" w:rsidR="003C4151" w:rsidRDefault="00AE2132" w:rsidP="0055783F">
      <w:pPr>
        <w:pStyle w:val="B17SectionHeading14ptUnderscore"/>
        <w:ind w:left="-284"/>
      </w:pPr>
      <w:r>
        <w:t>Performance overview</w:t>
      </w:r>
    </w:p>
    <w:p w14:paraId="2ECE092E" w14:textId="784862E4" w:rsidR="00F03F4E" w:rsidRPr="00F03F4E" w:rsidRDefault="009C6E6B" w:rsidP="0019660A">
      <w:pPr>
        <w:pStyle w:val="B17BulletedtextRegular"/>
        <w:ind w:left="270" w:hanging="283"/>
      </w:pPr>
      <w:bookmarkStart w:id="1" w:name="_Hlk128747504"/>
      <w:bookmarkStart w:id="2" w:name="_Hlk115965165"/>
      <w:r>
        <w:t xml:space="preserve">Against a relatively benign economic and market backdrop, yields fell across the major government bond markets in anticipation of interest rate cuts commencing in June.  The Federal Reserve (Fed), European Central Bank (ECB) and the Bank of England left interest rates unchanged. </w:t>
      </w:r>
      <w:r w:rsidRPr="00EA5C79">
        <w:t xml:space="preserve">The Fed's Summary of Economic Projections (SEP) showed no change to its </w:t>
      </w:r>
      <w:r>
        <w:t xml:space="preserve">forecast </w:t>
      </w:r>
      <w:r w:rsidRPr="00EA5C79">
        <w:t>for three rate cuts this year, despite forecasting lower unemployment and higher core inflation compared to December’s release. The accompanying statement also set a dovish tone</w:t>
      </w:r>
      <w:r w:rsidR="009E61B5">
        <w:t>.</w:t>
      </w:r>
    </w:p>
    <w:p w14:paraId="681B94EA" w14:textId="2208BA1A" w:rsidR="00332A3E" w:rsidRDefault="00F554FD" w:rsidP="00332A3E">
      <w:pPr>
        <w:pStyle w:val="B17BulletedtextRegular"/>
        <w:ind w:left="270" w:hanging="283"/>
      </w:pPr>
      <w:r>
        <w:t>At its meeting in early March, the ECB lowered forecasts for inflation, and is now expecting the consumer price index to decline to its 2% target next year. Accordingly, bond markets are anticipating that the ECB will cut interest rates in June. Economic indicators for the Eurozone released last month highlighted that business activity, as measured by the Purchasing Managers index (</w:t>
      </w:r>
      <w:r w:rsidRPr="002D0693">
        <w:t>PMI</w:t>
      </w:r>
      <w:r>
        <w:t>),</w:t>
      </w:r>
      <w:r w:rsidRPr="002D0693">
        <w:t xml:space="preserve"> </w:t>
      </w:r>
      <w:r>
        <w:t>is being lifted by a rebound in the services sector. While business activity in both the German and French economies continued to contract, the picture was brighter elsewhere. Notably, southern European economies have been outperforming, benefiting from a recovery in tourism, while they have less exposure to the manufacturing cycle</w:t>
      </w:r>
      <w:r w:rsidR="00F94D6D">
        <w:t>.</w:t>
      </w:r>
      <w:r w:rsidR="00332A3E">
        <w:t xml:space="preserve"> </w:t>
      </w:r>
    </w:p>
    <w:p w14:paraId="2B8AD2C2" w14:textId="3915F766" w:rsidR="00280450" w:rsidRDefault="00F62D75" w:rsidP="00332A3E">
      <w:pPr>
        <w:pStyle w:val="B17BulletedtextRegular"/>
        <w:ind w:left="270" w:hanging="283"/>
      </w:pPr>
      <w:r>
        <w:t>European i</w:t>
      </w:r>
      <w:r w:rsidRPr="00C60B31">
        <w:t>nvestment grade</w:t>
      </w:r>
      <w:r>
        <w:t xml:space="preserve"> </w:t>
      </w:r>
      <w:r w:rsidRPr="00C60B31">
        <w:t>corporate bonds outperform</w:t>
      </w:r>
      <w:r>
        <w:t>ed</w:t>
      </w:r>
      <w:r w:rsidRPr="00C60B31">
        <w:t xml:space="preserve"> government bonds</w:t>
      </w:r>
      <w:r>
        <w:t xml:space="preserve"> over the month as spreads continued to tighten. With spread compression the main theme, high beta areas of the market continued to outperform the broader index, with subordinated and senior financials, as well as BBB- rated credit, particularly strong. The technical backdrop remained supportive with new issues oversubscribed</w:t>
      </w:r>
      <w:r w:rsidR="00986773">
        <w:t>.</w:t>
      </w:r>
      <w:r w:rsidR="00280450">
        <w:t xml:space="preserve"> </w:t>
      </w:r>
    </w:p>
    <w:p w14:paraId="76E1CCC7" w14:textId="34A7CE08" w:rsidR="0019660A" w:rsidRDefault="001B038D" w:rsidP="0019660A">
      <w:pPr>
        <w:pStyle w:val="B17BulletedtextRegular"/>
        <w:ind w:left="270" w:hanging="283"/>
      </w:pPr>
      <w:r>
        <w:t xml:space="preserve">The US 10-year Treasury yield fell from 4.24% to 4.2%, </w:t>
      </w:r>
      <w:r w:rsidRPr="00EA5C79">
        <w:t>and with the curve still heavily inverted, the yield on the benchmark 2-year remained unchanged at 4.6% on the month</w:t>
      </w:r>
      <w:r>
        <w:t>. The 10-year German bund yield fell from 2.41%. to 2.3%, while equivalent yields in the Italian and Spanish markets fell further</w:t>
      </w:r>
      <w:r w:rsidR="003F4F47">
        <w:t>.</w:t>
      </w:r>
      <w:r w:rsidR="00AA4163">
        <w:t xml:space="preserve"> </w:t>
      </w:r>
    </w:p>
    <w:bookmarkEnd w:id="1"/>
    <w:bookmarkEnd w:id="2"/>
    <w:p w14:paraId="4437F23B" w14:textId="77777777" w:rsidR="00AE2132" w:rsidRPr="008174A3" w:rsidRDefault="00AE2132" w:rsidP="00E5010E">
      <w:pPr>
        <w:pStyle w:val="B17SectionHeading14ptUnderscore"/>
        <w:ind w:left="-284"/>
      </w:pPr>
      <w:r w:rsidRPr="00234B2C">
        <w:t>Drivers of fund performance</w:t>
      </w:r>
    </w:p>
    <w:p w14:paraId="3154A2D7" w14:textId="50F5F12F" w:rsidR="00DF2892" w:rsidRDefault="00AF662B" w:rsidP="00586576">
      <w:pPr>
        <w:pStyle w:val="B17BulletedtextRegular"/>
        <w:ind w:left="270" w:hanging="283"/>
      </w:pPr>
      <w:r>
        <w:t xml:space="preserve">The fund </w:t>
      </w:r>
      <w:r w:rsidR="00AF267F">
        <w:t>out</w:t>
      </w:r>
      <w:r>
        <w:t xml:space="preserve">performed </w:t>
      </w:r>
      <w:r w:rsidR="004A77ED">
        <w:t xml:space="preserve">the </w:t>
      </w:r>
      <w:r w:rsidR="00AF267F">
        <w:t xml:space="preserve">benchmark </w:t>
      </w:r>
      <w:r w:rsidR="006C32A5" w:rsidRPr="00FC57A5">
        <w:t xml:space="preserve">Markit </w:t>
      </w:r>
      <w:proofErr w:type="spellStart"/>
      <w:r w:rsidR="006C32A5" w:rsidRPr="00FC57A5">
        <w:t>iBoxx</w:t>
      </w:r>
      <w:proofErr w:type="spellEnd"/>
      <w:r w:rsidR="006C32A5" w:rsidRPr="00FC57A5">
        <w:t xml:space="preserve"> E</w:t>
      </w:r>
      <w:r w:rsidR="004A77ED">
        <w:t xml:space="preserve">UR </w:t>
      </w:r>
      <w:r w:rsidR="006C32A5" w:rsidRPr="00FC57A5">
        <w:t xml:space="preserve">Corporate </w:t>
      </w:r>
      <w:r w:rsidR="004A77ED">
        <w:t xml:space="preserve">BBB 1-5 </w:t>
      </w:r>
      <w:r w:rsidR="007D62B7">
        <w:t>Y</w:t>
      </w:r>
      <w:r w:rsidR="004A77ED">
        <w:t xml:space="preserve">ear </w:t>
      </w:r>
      <w:r w:rsidR="00DC2612" w:rsidRPr="00FC57A5">
        <w:t>I</w:t>
      </w:r>
      <w:r w:rsidR="006C32A5" w:rsidRPr="00FC57A5">
        <w:t>ndex</w:t>
      </w:r>
      <w:r w:rsidR="00FD179E">
        <w:t xml:space="preserve"> during</w:t>
      </w:r>
      <w:r w:rsidR="004811D7">
        <w:t xml:space="preserve"> March</w:t>
      </w:r>
      <w:r w:rsidR="006C32A5" w:rsidRPr="00FC57A5">
        <w:t>.</w:t>
      </w:r>
    </w:p>
    <w:p w14:paraId="34F6AA9D" w14:textId="2B6449E0" w:rsidR="00D130A4" w:rsidRDefault="003D1947" w:rsidP="00586576">
      <w:pPr>
        <w:pStyle w:val="B17BulletedtextRegular"/>
        <w:ind w:left="270" w:hanging="283"/>
      </w:pPr>
      <w:r>
        <w:t>An overweight in spread duration made a positive contribution as credit spreads tightened further</w:t>
      </w:r>
      <w:r w:rsidR="00D130A4">
        <w:t>.</w:t>
      </w:r>
    </w:p>
    <w:p w14:paraId="334C1D16" w14:textId="6AD0DC55" w:rsidR="008D4C94" w:rsidRDefault="00464A25" w:rsidP="00586576">
      <w:pPr>
        <w:pStyle w:val="B17BulletedtextRegular"/>
        <w:ind w:left="270" w:hanging="283"/>
      </w:pPr>
      <w:r>
        <w:t>Exposure to corporate hybrid issues, particularly in the real estate sector, had a positive impact</w:t>
      </w:r>
      <w:r w:rsidR="008D4C94">
        <w:t xml:space="preserve">. </w:t>
      </w:r>
    </w:p>
    <w:p w14:paraId="23014164" w14:textId="1485F703" w:rsidR="004A77ED" w:rsidRPr="00FC57A5" w:rsidRDefault="0016257D" w:rsidP="00586576">
      <w:pPr>
        <w:pStyle w:val="B17BulletedtextRegular"/>
        <w:ind w:left="270" w:hanging="283"/>
      </w:pPr>
      <w:r>
        <w:t>An emphasis on subordinated financials was additive, particularly within the insurance sector</w:t>
      </w:r>
      <w:r w:rsidR="00AD41E7">
        <w:t xml:space="preserve">. </w:t>
      </w:r>
    </w:p>
    <w:p w14:paraId="0C90ABE9" w14:textId="6F957205" w:rsidR="00C94662" w:rsidRDefault="00DB40CF" w:rsidP="00E02DC2">
      <w:pPr>
        <w:pStyle w:val="B17BulletedtextRegular"/>
        <w:ind w:left="270" w:hanging="283"/>
      </w:pPr>
      <w:r>
        <w:t>Security selection amongst senior financials was beneficial</w:t>
      </w:r>
      <w:r w:rsidR="00E03A59">
        <w:t>.</w:t>
      </w:r>
      <w:r w:rsidR="00280F5C">
        <w:t xml:space="preserve"> </w:t>
      </w:r>
      <w:r w:rsidR="00E57901">
        <w:t xml:space="preserve">  </w:t>
      </w:r>
    </w:p>
    <w:p w14:paraId="75EA4573" w14:textId="04EEDF0C" w:rsidR="00DB40CF" w:rsidRDefault="003F37A3" w:rsidP="00E02DC2">
      <w:pPr>
        <w:pStyle w:val="B17BulletedtextRegular"/>
        <w:ind w:left="270" w:hanging="283"/>
      </w:pPr>
      <w:r>
        <w:t>An overweight in bonds rated BBB- was also additive.</w:t>
      </w:r>
    </w:p>
    <w:p w14:paraId="25302E6C" w14:textId="1A4637AF" w:rsidR="0007608B" w:rsidRDefault="00956001" w:rsidP="009053B5">
      <w:pPr>
        <w:pStyle w:val="B17BulletedtextRegular"/>
        <w:ind w:left="270" w:hanging="283"/>
      </w:pPr>
      <w:r>
        <w:t xml:space="preserve">The main detractor came from a holding in a state-owned utility group, which weakened on ESG concerns. </w:t>
      </w:r>
    </w:p>
    <w:p w14:paraId="2A15351E" w14:textId="53741490" w:rsidR="00F3606A" w:rsidRPr="00E011AF" w:rsidRDefault="00F3606A" w:rsidP="009053B5">
      <w:pPr>
        <w:pStyle w:val="B17BulletedtextRegular"/>
        <w:numPr>
          <w:ilvl w:val="0"/>
          <w:numId w:val="0"/>
        </w:numPr>
        <w:ind w:left="425" w:hanging="425"/>
      </w:pPr>
    </w:p>
    <w:p w14:paraId="0AA3825D" w14:textId="77777777" w:rsidR="005105CD" w:rsidRDefault="005105CD" w:rsidP="00FC57A5">
      <w:pPr>
        <w:pStyle w:val="B17SectionHeading14ptUnderscore"/>
        <w:spacing w:before="250"/>
        <w:ind w:right="-142"/>
      </w:pPr>
      <w:r w:rsidRPr="00881C80">
        <w:t>Portfolio activity</w:t>
      </w:r>
    </w:p>
    <w:p w14:paraId="32679F8B" w14:textId="7B227D1A" w:rsidR="008364FA" w:rsidRDefault="00AB1757" w:rsidP="00FC57A5">
      <w:pPr>
        <w:pStyle w:val="B17BulletedtextRegular"/>
        <w:ind w:left="270" w:hanging="283"/>
      </w:pPr>
      <w:bookmarkStart w:id="3" w:name="_Hlk71212939"/>
      <w:bookmarkStart w:id="4" w:name="_Hlk116294290"/>
      <w:r>
        <w:t>Activity was once again focused largely on deploying cash in the primary market with the volume of new issuance providing several investment opportunities to diversify the portfolio</w:t>
      </w:r>
      <w:r w:rsidR="0058456B">
        <w:t>.</w:t>
      </w:r>
      <w:r w:rsidR="002875A7">
        <w:t xml:space="preserve"> </w:t>
      </w:r>
    </w:p>
    <w:p w14:paraId="20595104" w14:textId="17B7FCDD" w:rsidR="003C1AF6" w:rsidRDefault="00DC3A02" w:rsidP="00961E87">
      <w:pPr>
        <w:pStyle w:val="B17BulletedtextRegular"/>
        <w:ind w:left="270" w:hanging="283"/>
      </w:pPr>
      <w:r>
        <w:t xml:space="preserve">We reduced generic banking exposure and selectively added to new issues in East European and Nordic countries where credit fundamentals are strong and valuations more attractive. These included </w:t>
      </w:r>
      <w:r w:rsidR="00792B47">
        <w:t xml:space="preserve">a </w:t>
      </w:r>
      <w:r>
        <w:t>holding</w:t>
      </w:r>
      <w:r w:rsidR="005957BF">
        <w:t xml:space="preserve"> in</w:t>
      </w:r>
      <w:r w:rsidR="00792B47">
        <w:t xml:space="preserve"> a</w:t>
      </w:r>
      <w:r>
        <w:t xml:space="preserve"> Slovenian bank benefitting from a strong balance sheet with profitability underpinned by market share and capital generation</w:t>
      </w:r>
      <w:r w:rsidR="00CF3817">
        <w:t>.</w:t>
      </w:r>
      <w:r w:rsidR="00FC5BC4">
        <w:t xml:space="preserve"> </w:t>
      </w:r>
    </w:p>
    <w:p w14:paraId="4ABAC078" w14:textId="6B0B4D51" w:rsidR="00FF1020" w:rsidRDefault="00E62F1C" w:rsidP="00961E87">
      <w:pPr>
        <w:pStyle w:val="B17BulletedtextRegular"/>
        <w:ind w:left="270" w:hanging="283"/>
      </w:pPr>
      <w:r>
        <w:t>In the telecoms sector, we participated in a new issue from the government-owned operator of the Australian broadband fibre network, which exceeded its financial targets last year and benefits from a strong liquidity profile</w:t>
      </w:r>
      <w:r w:rsidR="00BE0587">
        <w:t>.</w:t>
      </w:r>
    </w:p>
    <w:p w14:paraId="25A43BEB" w14:textId="0ADFABE0" w:rsidR="00D75731" w:rsidRDefault="0009023E" w:rsidP="004F7D72">
      <w:pPr>
        <w:pStyle w:val="B17BulletedtextRegular"/>
        <w:ind w:left="270" w:hanging="283"/>
      </w:pPr>
      <w:r>
        <w:t xml:space="preserve">In basic resources, we added to our holding in a mining group </w:t>
      </w:r>
      <w:r w:rsidRPr="00C9656F">
        <w:t>has taken further steps to strengthen its balance sheet by targeting cost cutting opportunities and additional capex discipline</w:t>
      </w:r>
      <w:r>
        <w:t>. Its commodity profile is skewed towards metals that are fundamental to the shift towards de-carbonisation</w:t>
      </w:r>
      <w:r w:rsidR="00ED27C0">
        <w:t>.</w:t>
      </w:r>
    </w:p>
    <w:p w14:paraId="675DD000" w14:textId="27D5998A" w:rsidR="008904E1" w:rsidRDefault="00354A1D" w:rsidP="004F7D72">
      <w:pPr>
        <w:pStyle w:val="B17BulletedtextRegular"/>
        <w:ind w:left="270" w:hanging="283"/>
      </w:pPr>
      <w:r>
        <w:t>In the healthcare sector, we participated in a new issue from a bio-pharmaceutical company specialising in immunology and neurology. We believe the outlook is favourable for bio-pharmaceutical companies, as the barriers to entry for generic competition are higher than in other segments of the pharmaceutical industry</w:t>
      </w:r>
      <w:r w:rsidR="00674D5A">
        <w:t>.</w:t>
      </w:r>
    </w:p>
    <w:p w14:paraId="12E6C626" w14:textId="4124AD8F" w:rsidR="00AF5697" w:rsidRDefault="0029631F" w:rsidP="004F7D72">
      <w:pPr>
        <w:pStyle w:val="B17BulletedtextRegular"/>
        <w:ind w:left="270" w:hanging="283"/>
      </w:pPr>
      <w:r>
        <w:lastRenderedPageBreak/>
        <w:t>On the disposals side, we reduced exposure to some peripheral European banks on the back of the recent outperformance</w:t>
      </w:r>
      <w:r w:rsidR="00E54012">
        <w:t>.</w:t>
      </w:r>
    </w:p>
    <w:p w14:paraId="74F516D3" w14:textId="0B8D54C9" w:rsidR="00054FF8" w:rsidRDefault="00401E03" w:rsidP="009053B5">
      <w:pPr>
        <w:pStyle w:val="B17BulletedtextRegular"/>
        <w:numPr>
          <w:ilvl w:val="0"/>
          <w:numId w:val="0"/>
        </w:numPr>
      </w:pPr>
      <w:r>
        <w:t xml:space="preserve"> </w:t>
      </w:r>
    </w:p>
    <w:bookmarkEnd w:id="3"/>
    <w:bookmarkEnd w:id="4"/>
    <w:p w14:paraId="5CD961DF" w14:textId="77777777" w:rsidR="00AE2132" w:rsidRDefault="00AE2132" w:rsidP="007B1280">
      <w:pPr>
        <w:pStyle w:val="B17SectionHeading14ptUnderscore"/>
        <w:spacing w:before="250"/>
        <w:ind w:right="-142"/>
      </w:pPr>
      <w:r>
        <w:t>Outlook</w:t>
      </w:r>
    </w:p>
    <w:p w14:paraId="01A8E954" w14:textId="45568524" w:rsidR="0019660A" w:rsidRDefault="0093714A" w:rsidP="0019660A">
      <w:pPr>
        <w:pStyle w:val="B17BulletedtextRegular"/>
        <w:ind w:left="270" w:right="-41" w:hanging="283"/>
      </w:pPr>
      <w:bookmarkStart w:id="5" w:name="_Hlk89696232"/>
      <w:bookmarkStart w:id="6" w:name="_Hlk84431178"/>
      <w:bookmarkStart w:id="7" w:name="_Hlk76540173"/>
      <w:bookmarkStart w:id="8" w:name="_Hlk68710450"/>
      <w:r>
        <w:t xml:space="preserve">Consistent with our central thesis of a ‘soft landing’, firming goods demand has driven an upturn in the global manufacturing cycle. The US has led the way, but the Eurozone has been a more recent beneficiary of this cyclical uplift, with a more accommodative interest rate outlook offering additional support. Not only does it appear that the region’s manufacturing cycle has turned, but the services sector also seems to be recovering, feeding through to the labour market. Leading indicators are signalling a clear improvement </w:t>
      </w:r>
      <w:proofErr w:type="gramStart"/>
      <w:r>
        <w:t>and,</w:t>
      </w:r>
      <w:proofErr w:type="gramEnd"/>
      <w:r>
        <w:t xml:space="preserve"> given the weakness of growth expectations for the region, the hurdle for positive surprises is easy to beat</w:t>
      </w:r>
      <w:r w:rsidR="004E5ED8">
        <w:t>.</w:t>
      </w:r>
      <w:r w:rsidR="0019660A">
        <w:t xml:space="preserve"> </w:t>
      </w:r>
    </w:p>
    <w:p w14:paraId="480BE28E" w14:textId="5EC93330" w:rsidR="0019660A" w:rsidRDefault="00A02818" w:rsidP="0019660A">
      <w:pPr>
        <w:pStyle w:val="B17BulletedtextRegular"/>
        <w:ind w:left="270" w:right="-41" w:hanging="283"/>
      </w:pPr>
      <w:r>
        <w:t>Expectations on the timing and the extent of interest rate cuts have shifted in recent months. At the start of the year, investors were expecting the Fed to begin cutting rates in March. At the time of writing, bond markets are pricing in June to be the most likely timing for a first cut by the Fed. Indeed, the second quarter of the year has started with a sell-off in Treasuries driven by stronger than expected manufacturing data that has amplified concerns over the extent of US interest rate cuts this year. Our view is that there is a higher probability for an earlier rate cut by the ECB than from the Fed</w:t>
      </w:r>
      <w:r w:rsidR="00AC6228">
        <w:t>.</w:t>
      </w:r>
      <w:r w:rsidR="00720962">
        <w:t xml:space="preserve"> </w:t>
      </w:r>
    </w:p>
    <w:p w14:paraId="63822F96" w14:textId="530D183D" w:rsidR="00CB2E68" w:rsidRDefault="008C0970" w:rsidP="00CB2E68">
      <w:pPr>
        <w:pStyle w:val="B17BulletedtextRegular"/>
        <w:ind w:left="270" w:right="-41" w:hanging="283"/>
      </w:pPr>
      <w:r w:rsidRPr="00566856">
        <w:t>Credit spreads</w:t>
      </w:r>
      <w:r>
        <w:t xml:space="preserve"> have</w:t>
      </w:r>
      <w:r w:rsidRPr="00566856">
        <w:t xml:space="preserve"> continued to tighten, however </w:t>
      </w:r>
      <w:r>
        <w:t>there is still</w:t>
      </w:r>
      <w:r w:rsidRPr="00566856">
        <w:t xml:space="preserve"> dispersion in the</w:t>
      </w:r>
      <w:r>
        <w:t xml:space="preserve"> market</w:t>
      </w:r>
      <w:r w:rsidRPr="00566856">
        <w:t>, with single A’s offering good value relative to history and other rating buckets</w:t>
      </w:r>
      <w:r w:rsidR="00894081">
        <w:t>.</w:t>
      </w:r>
    </w:p>
    <w:p w14:paraId="1C0DD79D" w14:textId="717F5057" w:rsidR="00DF762D" w:rsidRDefault="007C1B1E" w:rsidP="009053B5">
      <w:pPr>
        <w:pStyle w:val="B17BulletedtextRegular"/>
        <w:ind w:left="270" w:right="-41" w:hanging="283"/>
      </w:pPr>
      <w:r>
        <w:t>Moreover, we expect the supportive technical backdrop to continue into the second quarter with demand for new issues and inflows into investment grade credit funds set to remain strong</w:t>
      </w:r>
      <w:r w:rsidR="00DF762D">
        <w:t>.</w:t>
      </w:r>
    </w:p>
    <w:p w14:paraId="4D4669A2" w14:textId="0EE57BAE" w:rsidR="00E5010E" w:rsidRDefault="00720962" w:rsidP="00525DF8">
      <w:pPr>
        <w:pStyle w:val="B17BulletedtextRegular"/>
        <w:numPr>
          <w:ilvl w:val="0"/>
          <w:numId w:val="0"/>
        </w:numPr>
        <w:ind w:left="-13" w:right="-41"/>
      </w:pPr>
      <w:r>
        <w:t xml:space="preserve"> </w:t>
      </w:r>
      <w:r w:rsidR="00E5010E" w:rsidRPr="00957608">
        <w:t xml:space="preserve">   </w:t>
      </w:r>
      <w:r w:rsidR="00E5010E">
        <w:t xml:space="preserve"> </w:t>
      </w:r>
    </w:p>
    <w:bookmarkEnd w:id="5"/>
    <w:bookmarkEnd w:id="6"/>
    <w:bookmarkEnd w:id="7"/>
    <w:bookmarkEnd w:id="8"/>
    <w:p w14:paraId="214F4671" w14:textId="77777777" w:rsidR="00AE2132" w:rsidRPr="00052E16" w:rsidRDefault="00AE2132" w:rsidP="0055783F">
      <w:pPr>
        <w:pStyle w:val="B17SectionHeading14ptUnderscore"/>
        <w:ind w:right="-143"/>
      </w:pPr>
      <w:r w:rsidRPr="00052E16">
        <w:t>Calendar year performance (%)</w:t>
      </w:r>
    </w:p>
    <w:tbl>
      <w:tblPr>
        <w:tblW w:w="5148" w:type="pct"/>
        <w:tblInd w:w="74" w:type="dxa"/>
        <w:tblBorders>
          <w:top w:val="single" w:sz="4" w:space="0" w:color="002A5E"/>
          <w:bottom w:val="single" w:sz="4" w:space="0" w:color="002A5E"/>
          <w:insideH w:val="single" w:sz="4" w:space="0" w:color="002A5E"/>
        </w:tblBorders>
        <w:tblLayout w:type="fixed"/>
        <w:tblCellMar>
          <w:left w:w="74" w:type="dxa"/>
          <w:right w:w="74" w:type="dxa"/>
        </w:tblCellMar>
        <w:tblLook w:val="0620" w:firstRow="1" w:lastRow="0" w:firstColumn="0" w:lastColumn="0" w:noHBand="1" w:noVBand="1"/>
      </w:tblPr>
      <w:tblGrid>
        <w:gridCol w:w="1001"/>
        <w:gridCol w:w="1386"/>
        <w:gridCol w:w="1292"/>
        <w:gridCol w:w="1283"/>
      </w:tblGrid>
      <w:tr w:rsidR="00D32BF3" w:rsidRPr="00052E16" w14:paraId="7C807CD2" w14:textId="77777777" w:rsidTr="0033254E">
        <w:trPr>
          <w:trHeight w:val="289"/>
        </w:trPr>
        <w:tc>
          <w:tcPr>
            <w:tcW w:w="1008" w:type="pct"/>
            <w:tcBorders>
              <w:bottom w:val="single" w:sz="6" w:space="0" w:color="FFFFFF"/>
            </w:tcBorders>
            <w:shd w:val="clear" w:color="auto" w:fill="002A5E"/>
          </w:tcPr>
          <w:p w14:paraId="794E27AD" w14:textId="77777777" w:rsidR="00B22A24" w:rsidRPr="00052E16" w:rsidRDefault="00B22A24" w:rsidP="00D32BF3">
            <w:pPr>
              <w:spacing w:after="0"/>
              <w:rPr>
                <w:b/>
                <w:color w:val="FFFFFF"/>
                <w:sz w:val="18"/>
                <w:szCs w:val="18"/>
              </w:rPr>
            </w:pPr>
          </w:p>
        </w:tc>
        <w:tc>
          <w:tcPr>
            <w:tcW w:w="1397" w:type="pct"/>
            <w:tcBorders>
              <w:bottom w:val="single" w:sz="6" w:space="0" w:color="FFFFFF"/>
            </w:tcBorders>
            <w:shd w:val="clear" w:color="auto" w:fill="002A5E"/>
          </w:tcPr>
          <w:p w14:paraId="465514C1" w14:textId="77777777" w:rsidR="00B22A24" w:rsidRPr="00052E16" w:rsidRDefault="00B22A24" w:rsidP="00D32BF3">
            <w:pPr>
              <w:spacing w:after="0"/>
              <w:jc w:val="center"/>
              <w:rPr>
                <w:b/>
                <w:color w:val="FFFFFF"/>
                <w:sz w:val="18"/>
                <w:szCs w:val="18"/>
              </w:rPr>
            </w:pPr>
            <w:r w:rsidRPr="00052E16">
              <w:rPr>
                <w:b/>
                <w:color w:val="FFFFFF"/>
                <w:sz w:val="18"/>
                <w:szCs w:val="18"/>
              </w:rPr>
              <w:t xml:space="preserve">A </w:t>
            </w:r>
            <w:proofErr w:type="spellStart"/>
            <w:r w:rsidRPr="00052E16">
              <w:rPr>
                <w:b/>
                <w:color w:val="FFFFFF"/>
                <w:sz w:val="18"/>
                <w:szCs w:val="18"/>
              </w:rPr>
              <w:t>Acc</w:t>
            </w:r>
            <w:proofErr w:type="spellEnd"/>
          </w:p>
        </w:tc>
        <w:tc>
          <w:tcPr>
            <w:tcW w:w="1302" w:type="pct"/>
            <w:tcBorders>
              <w:bottom w:val="single" w:sz="6" w:space="0" w:color="FFFFFF"/>
            </w:tcBorders>
            <w:shd w:val="clear" w:color="auto" w:fill="002A5E"/>
          </w:tcPr>
          <w:p w14:paraId="490A0229" w14:textId="77777777" w:rsidR="00B22A24" w:rsidRPr="00052E16" w:rsidRDefault="00B22A24" w:rsidP="00D32BF3">
            <w:pPr>
              <w:spacing w:after="0"/>
              <w:jc w:val="center"/>
              <w:rPr>
                <w:b/>
                <w:color w:val="FFFFFF"/>
                <w:sz w:val="18"/>
                <w:szCs w:val="18"/>
              </w:rPr>
            </w:pPr>
            <w:r w:rsidRPr="00052E16">
              <w:rPr>
                <w:b/>
                <w:color w:val="FFFFFF"/>
                <w:sz w:val="18"/>
                <w:szCs w:val="18"/>
              </w:rPr>
              <w:t xml:space="preserve">I </w:t>
            </w:r>
            <w:proofErr w:type="spellStart"/>
            <w:r w:rsidRPr="00052E16">
              <w:rPr>
                <w:b/>
                <w:color w:val="FFFFFF"/>
                <w:sz w:val="18"/>
                <w:szCs w:val="18"/>
              </w:rPr>
              <w:t>Acc</w:t>
            </w:r>
            <w:proofErr w:type="spellEnd"/>
          </w:p>
        </w:tc>
        <w:tc>
          <w:tcPr>
            <w:tcW w:w="1294" w:type="pct"/>
            <w:tcBorders>
              <w:bottom w:val="single" w:sz="6" w:space="0" w:color="FFFFFF"/>
            </w:tcBorders>
            <w:shd w:val="clear" w:color="auto" w:fill="002A5E"/>
          </w:tcPr>
          <w:p w14:paraId="2001B4C4" w14:textId="77777777" w:rsidR="00B22A24" w:rsidRPr="00052E16" w:rsidRDefault="00B22A24" w:rsidP="00D32BF3">
            <w:pPr>
              <w:spacing w:after="0"/>
              <w:jc w:val="center"/>
              <w:rPr>
                <w:b/>
                <w:color w:val="FFFFFF"/>
                <w:sz w:val="18"/>
                <w:szCs w:val="18"/>
              </w:rPr>
            </w:pPr>
            <w:r w:rsidRPr="00052E16">
              <w:rPr>
                <w:b/>
                <w:color w:val="FFFFFF"/>
                <w:sz w:val="18"/>
                <w:szCs w:val="18"/>
              </w:rPr>
              <w:t>Target**</w:t>
            </w:r>
          </w:p>
        </w:tc>
      </w:tr>
      <w:tr w:rsidR="005503CF" w:rsidRPr="00D32BF3" w14:paraId="00770A6C" w14:textId="77777777" w:rsidTr="0033254E">
        <w:trPr>
          <w:trHeight w:val="283"/>
        </w:trPr>
        <w:tc>
          <w:tcPr>
            <w:tcW w:w="1008" w:type="pct"/>
            <w:shd w:val="clear" w:color="auto" w:fill="auto"/>
          </w:tcPr>
          <w:p w14:paraId="68417847" w14:textId="74610D05" w:rsidR="005503CF" w:rsidRPr="00052E16" w:rsidRDefault="005503CF" w:rsidP="00D32BF3">
            <w:pPr>
              <w:spacing w:after="0"/>
              <w:rPr>
                <w:sz w:val="18"/>
                <w:szCs w:val="18"/>
              </w:rPr>
            </w:pPr>
            <w:r w:rsidRPr="00052E16">
              <w:rPr>
                <w:sz w:val="18"/>
                <w:szCs w:val="18"/>
              </w:rPr>
              <w:t>202</w:t>
            </w:r>
            <w:r w:rsidR="0033254E">
              <w:rPr>
                <w:sz w:val="18"/>
                <w:szCs w:val="18"/>
              </w:rPr>
              <w:t>3</w:t>
            </w:r>
          </w:p>
        </w:tc>
        <w:tc>
          <w:tcPr>
            <w:tcW w:w="1397" w:type="pct"/>
            <w:shd w:val="clear" w:color="auto" w:fill="auto"/>
            <w:vAlign w:val="center"/>
          </w:tcPr>
          <w:p w14:paraId="32B01C87" w14:textId="0C7FE324" w:rsidR="005503CF" w:rsidRPr="00052E16" w:rsidRDefault="00525DF8" w:rsidP="00D32BF3">
            <w:pPr>
              <w:spacing w:after="0"/>
              <w:jc w:val="center"/>
              <w:rPr>
                <w:sz w:val="18"/>
                <w:szCs w:val="18"/>
              </w:rPr>
            </w:pPr>
            <w:r>
              <w:rPr>
                <w:sz w:val="18"/>
                <w:szCs w:val="18"/>
              </w:rPr>
              <w:t>9.2</w:t>
            </w:r>
          </w:p>
        </w:tc>
        <w:tc>
          <w:tcPr>
            <w:tcW w:w="1302" w:type="pct"/>
            <w:shd w:val="clear" w:color="auto" w:fill="auto"/>
            <w:vAlign w:val="center"/>
          </w:tcPr>
          <w:p w14:paraId="29432DA1" w14:textId="6FE9A1DA" w:rsidR="005503CF" w:rsidRPr="00052E16" w:rsidRDefault="00525DF8" w:rsidP="00D32BF3">
            <w:pPr>
              <w:spacing w:after="0"/>
              <w:jc w:val="center"/>
              <w:rPr>
                <w:sz w:val="18"/>
                <w:szCs w:val="18"/>
              </w:rPr>
            </w:pPr>
            <w:r>
              <w:rPr>
                <w:sz w:val="18"/>
                <w:szCs w:val="18"/>
              </w:rPr>
              <w:t>10.7</w:t>
            </w:r>
          </w:p>
        </w:tc>
        <w:tc>
          <w:tcPr>
            <w:tcW w:w="1294" w:type="pct"/>
            <w:shd w:val="clear" w:color="auto" w:fill="auto"/>
            <w:vAlign w:val="center"/>
          </w:tcPr>
          <w:p w14:paraId="113A3103" w14:textId="2DC577B0" w:rsidR="005503CF" w:rsidRPr="00D32BF3" w:rsidRDefault="00525DF8" w:rsidP="00D32BF3">
            <w:pPr>
              <w:spacing w:after="0"/>
              <w:jc w:val="center"/>
              <w:rPr>
                <w:sz w:val="18"/>
                <w:szCs w:val="18"/>
              </w:rPr>
            </w:pPr>
            <w:r>
              <w:rPr>
                <w:sz w:val="18"/>
                <w:szCs w:val="18"/>
              </w:rPr>
              <w:t>6.3</w:t>
            </w:r>
          </w:p>
        </w:tc>
      </w:tr>
      <w:tr w:rsidR="0033254E" w:rsidRPr="00D32BF3" w14:paraId="1C1C37BE" w14:textId="77777777" w:rsidTr="0033254E">
        <w:trPr>
          <w:trHeight w:val="283"/>
        </w:trPr>
        <w:tc>
          <w:tcPr>
            <w:tcW w:w="1008" w:type="pct"/>
            <w:shd w:val="clear" w:color="auto" w:fill="auto"/>
          </w:tcPr>
          <w:p w14:paraId="71D78BE7" w14:textId="59E716EE" w:rsidR="0033254E" w:rsidRPr="00D32BF3" w:rsidRDefault="0033254E" w:rsidP="0033254E">
            <w:pPr>
              <w:spacing w:after="0"/>
              <w:rPr>
                <w:sz w:val="18"/>
                <w:szCs w:val="18"/>
              </w:rPr>
            </w:pPr>
            <w:r w:rsidRPr="00D32BF3">
              <w:rPr>
                <w:sz w:val="18"/>
                <w:szCs w:val="18"/>
              </w:rPr>
              <w:t>202</w:t>
            </w:r>
            <w:r>
              <w:rPr>
                <w:sz w:val="18"/>
                <w:szCs w:val="18"/>
              </w:rPr>
              <w:t>2</w:t>
            </w:r>
          </w:p>
        </w:tc>
        <w:tc>
          <w:tcPr>
            <w:tcW w:w="1397" w:type="pct"/>
            <w:shd w:val="clear" w:color="auto" w:fill="auto"/>
            <w:vAlign w:val="center"/>
          </w:tcPr>
          <w:p w14:paraId="751EFF5F" w14:textId="3FA38D08" w:rsidR="0033254E" w:rsidRPr="00D32BF3" w:rsidRDefault="0033254E" w:rsidP="0033254E">
            <w:pPr>
              <w:spacing w:after="0"/>
              <w:jc w:val="center"/>
              <w:rPr>
                <w:sz w:val="18"/>
                <w:szCs w:val="18"/>
              </w:rPr>
            </w:pPr>
            <w:r w:rsidRPr="00052E16">
              <w:rPr>
                <w:sz w:val="18"/>
                <w:szCs w:val="18"/>
              </w:rPr>
              <w:t>-16.7</w:t>
            </w:r>
          </w:p>
        </w:tc>
        <w:tc>
          <w:tcPr>
            <w:tcW w:w="1302" w:type="pct"/>
            <w:shd w:val="clear" w:color="auto" w:fill="auto"/>
            <w:vAlign w:val="center"/>
          </w:tcPr>
          <w:p w14:paraId="4137DED1" w14:textId="0066545C" w:rsidR="0033254E" w:rsidRPr="00D32BF3" w:rsidRDefault="0033254E" w:rsidP="0033254E">
            <w:pPr>
              <w:spacing w:after="0"/>
              <w:jc w:val="center"/>
              <w:rPr>
                <w:sz w:val="18"/>
                <w:szCs w:val="18"/>
              </w:rPr>
            </w:pPr>
            <w:r w:rsidRPr="00052E16">
              <w:rPr>
                <w:sz w:val="18"/>
                <w:szCs w:val="18"/>
              </w:rPr>
              <w:t>-15.7%</w:t>
            </w:r>
          </w:p>
        </w:tc>
        <w:tc>
          <w:tcPr>
            <w:tcW w:w="1294" w:type="pct"/>
            <w:shd w:val="clear" w:color="auto" w:fill="auto"/>
            <w:vAlign w:val="center"/>
          </w:tcPr>
          <w:p w14:paraId="176BC2C8" w14:textId="70BF08D6" w:rsidR="0033254E" w:rsidRPr="00D32BF3" w:rsidRDefault="0033254E" w:rsidP="0033254E">
            <w:pPr>
              <w:spacing w:after="0"/>
              <w:jc w:val="center"/>
              <w:rPr>
                <w:sz w:val="18"/>
                <w:szCs w:val="18"/>
              </w:rPr>
            </w:pPr>
            <w:r w:rsidRPr="00052E16">
              <w:rPr>
                <w:sz w:val="18"/>
                <w:szCs w:val="18"/>
              </w:rPr>
              <w:t>-14.8</w:t>
            </w:r>
          </w:p>
        </w:tc>
      </w:tr>
      <w:tr w:rsidR="0033254E" w:rsidRPr="00D32BF3" w14:paraId="1420E1AF" w14:textId="77777777" w:rsidTr="0033254E">
        <w:trPr>
          <w:trHeight w:val="289"/>
        </w:trPr>
        <w:tc>
          <w:tcPr>
            <w:tcW w:w="1008" w:type="pct"/>
            <w:shd w:val="clear" w:color="auto" w:fill="auto"/>
          </w:tcPr>
          <w:p w14:paraId="019339A3" w14:textId="1A562254" w:rsidR="0033254E" w:rsidRPr="00D32BF3" w:rsidRDefault="0033254E" w:rsidP="0033254E">
            <w:pPr>
              <w:spacing w:after="0"/>
              <w:rPr>
                <w:sz w:val="18"/>
                <w:szCs w:val="18"/>
              </w:rPr>
            </w:pPr>
            <w:r w:rsidRPr="00D32BF3">
              <w:rPr>
                <w:sz w:val="18"/>
                <w:szCs w:val="18"/>
              </w:rPr>
              <w:t>202</w:t>
            </w:r>
            <w:r>
              <w:rPr>
                <w:sz w:val="18"/>
                <w:szCs w:val="18"/>
              </w:rPr>
              <w:t>1</w:t>
            </w:r>
          </w:p>
        </w:tc>
        <w:tc>
          <w:tcPr>
            <w:tcW w:w="1397" w:type="pct"/>
            <w:shd w:val="clear" w:color="auto" w:fill="auto"/>
            <w:vAlign w:val="center"/>
          </w:tcPr>
          <w:p w14:paraId="0816CBE1" w14:textId="6BC2FB84" w:rsidR="0033254E" w:rsidRPr="00D32BF3" w:rsidRDefault="0033254E" w:rsidP="0033254E">
            <w:pPr>
              <w:spacing w:after="0"/>
              <w:jc w:val="center"/>
              <w:rPr>
                <w:sz w:val="18"/>
                <w:szCs w:val="18"/>
              </w:rPr>
            </w:pPr>
            <w:r w:rsidRPr="00D32BF3">
              <w:rPr>
                <w:sz w:val="18"/>
                <w:szCs w:val="18"/>
              </w:rPr>
              <w:t>-1.1</w:t>
            </w:r>
          </w:p>
        </w:tc>
        <w:tc>
          <w:tcPr>
            <w:tcW w:w="1302" w:type="pct"/>
            <w:shd w:val="clear" w:color="auto" w:fill="auto"/>
            <w:vAlign w:val="center"/>
          </w:tcPr>
          <w:p w14:paraId="6D9829EA" w14:textId="3237F642" w:rsidR="0033254E" w:rsidRPr="00D32BF3" w:rsidRDefault="0033254E" w:rsidP="0033254E">
            <w:pPr>
              <w:spacing w:after="0"/>
              <w:jc w:val="center"/>
              <w:rPr>
                <w:sz w:val="18"/>
                <w:szCs w:val="18"/>
              </w:rPr>
            </w:pPr>
            <w:r w:rsidRPr="00D32BF3">
              <w:rPr>
                <w:sz w:val="18"/>
                <w:szCs w:val="18"/>
              </w:rPr>
              <w:t>0.2</w:t>
            </w:r>
          </w:p>
        </w:tc>
        <w:tc>
          <w:tcPr>
            <w:tcW w:w="1294" w:type="pct"/>
            <w:shd w:val="clear" w:color="auto" w:fill="auto"/>
            <w:vAlign w:val="center"/>
          </w:tcPr>
          <w:p w14:paraId="018CDDAD" w14:textId="27EF0CD5" w:rsidR="0033254E" w:rsidRPr="00D32BF3" w:rsidRDefault="0033254E" w:rsidP="0033254E">
            <w:pPr>
              <w:spacing w:after="0"/>
              <w:jc w:val="center"/>
              <w:rPr>
                <w:sz w:val="18"/>
                <w:szCs w:val="18"/>
              </w:rPr>
            </w:pPr>
            <w:r w:rsidRPr="00D32BF3">
              <w:rPr>
                <w:sz w:val="18"/>
                <w:szCs w:val="18"/>
              </w:rPr>
              <w:t>-0.6</w:t>
            </w:r>
          </w:p>
        </w:tc>
      </w:tr>
      <w:tr w:rsidR="0033254E" w:rsidRPr="00D32BF3" w14:paraId="6D3D8E74" w14:textId="77777777" w:rsidTr="0033254E">
        <w:trPr>
          <w:trHeight w:val="289"/>
        </w:trPr>
        <w:tc>
          <w:tcPr>
            <w:tcW w:w="1008" w:type="pct"/>
            <w:shd w:val="clear" w:color="auto" w:fill="auto"/>
            <w:vAlign w:val="center"/>
          </w:tcPr>
          <w:p w14:paraId="4C7EB404" w14:textId="3C40A26A" w:rsidR="0033254E" w:rsidRPr="00D32BF3" w:rsidRDefault="0033254E" w:rsidP="0033254E">
            <w:pPr>
              <w:spacing w:after="0"/>
              <w:rPr>
                <w:sz w:val="18"/>
                <w:szCs w:val="18"/>
              </w:rPr>
            </w:pPr>
            <w:r w:rsidRPr="00D32BF3">
              <w:rPr>
                <w:sz w:val="18"/>
                <w:szCs w:val="18"/>
              </w:rPr>
              <w:t>20</w:t>
            </w:r>
            <w:r>
              <w:rPr>
                <w:sz w:val="18"/>
                <w:szCs w:val="18"/>
              </w:rPr>
              <w:t>20</w:t>
            </w:r>
          </w:p>
        </w:tc>
        <w:tc>
          <w:tcPr>
            <w:tcW w:w="1397" w:type="pct"/>
            <w:shd w:val="clear" w:color="auto" w:fill="auto"/>
            <w:vAlign w:val="center"/>
          </w:tcPr>
          <w:p w14:paraId="33CCE0B2" w14:textId="18CC0C77" w:rsidR="0033254E" w:rsidRPr="00D32BF3" w:rsidRDefault="0033254E" w:rsidP="0033254E">
            <w:pPr>
              <w:spacing w:after="0"/>
              <w:jc w:val="center"/>
              <w:rPr>
                <w:sz w:val="18"/>
                <w:szCs w:val="18"/>
              </w:rPr>
            </w:pPr>
            <w:r w:rsidRPr="00D32BF3">
              <w:rPr>
                <w:sz w:val="18"/>
                <w:szCs w:val="18"/>
              </w:rPr>
              <w:t>4.8</w:t>
            </w:r>
          </w:p>
        </w:tc>
        <w:tc>
          <w:tcPr>
            <w:tcW w:w="1302" w:type="pct"/>
            <w:shd w:val="clear" w:color="auto" w:fill="auto"/>
            <w:vAlign w:val="center"/>
          </w:tcPr>
          <w:p w14:paraId="55D4E9B9" w14:textId="6706F6D6" w:rsidR="0033254E" w:rsidRPr="00D32BF3" w:rsidRDefault="0033254E" w:rsidP="0033254E">
            <w:pPr>
              <w:spacing w:after="0"/>
              <w:jc w:val="center"/>
              <w:rPr>
                <w:sz w:val="18"/>
                <w:szCs w:val="18"/>
              </w:rPr>
            </w:pPr>
            <w:r w:rsidRPr="00D32BF3">
              <w:rPr>
                <w:sz w:val="18"/>
                <w:szCs w:val="18"/>
              </w:rPr>
              <w:t>6.1</w:t>
            </w:r>
          </w:p>
        </w:tc>
        <w:tc>
          <w:tcPr>
            <w:tcW w:w="1294" w:type="pct"/>
            <w:shd w:val="clear" w:color="auto" w:fill="auto"/>
            <w:vAlign w:val="center"/>
          </w:tcPr>
          <w:p w14:paraId="64174EF9" w14:textId="11386622" w:rsidR="0033254E" w:rsidRPr="00D32BF3" w:rsidRDefault="0033254E" w:rsidP="0033254E">
            <w:pPr>
              <w:spacing w:after="0"/>
              <w:jc w:val="center"/>
              <w:rPr>
                <w:sz w:val="18"/>
                <w:szCs w:val="18"/>
              </w:rPr>
            </w:pPr>
            <w:r w:rsidRPr="00D32BF3">
              <w:rPr>
                <w:sz w:val="18"/>
                <w:szCs w:val="18"/>
              </w:rPr>
              <w:t>3.0</w:t>
            </w:r>
          </w:p>
        </w:tc>
      </w:tr>
      <w:tr w:rsidR="003652C3" w:rsidRPr="00D32BF3" w14:paraId="0E3DAAC7" w14:textId="77777777" w:rsidTr="0033254E">
        <w:trPr>
          <w:trHeight w:val="289"/>
        </w:trPr>
        <w:tc>
          <w:tcPr>
            <w:tcW w:w="1008" w:type="pct"/>
            <w:shd w:val="clear" w:color="auto" w:fill="auto"/>
            <w:vAlign w:val="center"/>
          </w:tcPr>
          <w:p w14:paraId="6D8EFCD6" w14:textId="67CCB4A2" w:rsidR="003652C3" w:rsidRPr="00D32BF3" w:rsidRDefault="003652C3" w:rsidP="003652C3">
            <w:pPr>
              <w:spacing w:after="0"/>
              <w:rPr>
                <w:sz w:val="18"/>
                <w:szCs w:val="18"/>
              </w:rPr>
            </w:pPr>
            <w:r w:rsidRPr="00D32BF3">
              <w:rPr>
                <w:sz w:val="18"/>
                <w:szCs w:val="18"/>
              </w:rPr>
              <w:t>201</w:t>
            </w:r>
            <w:r>
              <w:rPr>
                <w:sz w:val="18"/>
                <w:szCs w:val="18"/>
              </w:rPr>
              <w:t>9</w:t>
            </w:r>
          </w:p>
        </w:tc>
        <w:tc>
          <w:tcPr>
            <w:tcW w:w="1397" w:type="pct"/>
            <w:shd w:val="clear" w:color="auto" w:fill="auto"/>
            <w:vAlign w:val="center"/>
          </w:tcPr>
          <w:p w14:paraId="218691F5" w14:textId="45AA624B" w:rsidR="003652C3" w:rsidRPr="00D32BF3" w:rsidRDefault="0033254E" w:rsidP="003652C3">
            <w:pPr>
              <w:spacing w:after="0"/>
              <w:jc w:val="center"/>
              <w:rPr>
                <w:sz w:val="18"/>
                <w:szCs w:val="18"/>
              </w:rPr>
            </w:pPr>
            <w:r>
              <w:rPr>
                <w:sz w:val="18"/>
                <w:szCs w:val="18"/>
              </w:rPr>
              <w:t>9.8</w:t>
            </w:r>
          </w:p>
        </w:tc>
        <w:tc>
          <w:tcPr>
            <w:tcW w:w="1302" w:type="pct"/>
            <w:shd w:val="clear" w:color="auto" w:fill="auto"/>
            <w:vAlign w:val="center"/>
          </w:tcPr>
          <w:p w14:paraId="429A335A" w14:textId="722610DD" w:rsidR="003652C3" w:rsidRPr="00D32BF3" w:rsidRDefault="0033254E" w:rsidP="003652C3">
            <w:pPr>
              <w:spacing w:after="0"/>
              <w:jc w:val="center"/>
              <w:rPr>
                <w:sz w:val="18"/>
                <w:szCs w:val="18"/>
              </w:rPr>
            </w:pPr>
            <w:r>
              <w:rPr>
                <w:sz w:val="18"/>
                <w:szCs w:val="18"/>
              </w:rPr>
              <w:t>11.1</w:t>
            </w:r>
          </w:p>
        </w:tc>
        <w:tc>
          <w:tcPr>
            <w:tcW w:w="1294" w:type="pct"/>
            <w:shd w:val="clear" w:color="auto" w:fill="auto"/>
            <w:vAlign w:val="center"/>
          </w:tcPr>
          <w:p w14:paraId="30B0EB3F" w14:textId="1F985568" w:rsidR="003652C3" w:rsidRPr="00D32BF3" w:rsidRDefault="0033254E" w:rsidP="003652C3">
            <w:pPr>
              <w:spacing w:after="0"/>
              <w:jc w:val="center"/>
              <w:rPr>
                <w:sz w:val="18"/>
                <w:szCs w:val="18"/>
              </w:rPr>
            </w:pPr>
            <w:r>
              <w:rPr>
                <w:sz w:val="18"/>
                <w:szCs w:val="18"/>
              </w:rPr>
              <w:t>7.7</w:t>
            </w:r>
          </w:p>
        </w:tc>
      </w:tr>
      <w:tr w:rsidR="003652C3" w:rsidRPr="00D32BF3" w14:paraId="4F60C0C8" w14:textId="77777777" w:rsidTr="0033254E">
        <w:trPr>
          <w:trHeight w:val="289"/>
        </w:trPr>
        <w:tc>
          <w:tcPr>
            <w:tcW w:w="1008" w:type="pct"/>
            <w:shd w:val="clear" w:color="auto" w:fill="auto"/>
            <w:vAlign w:val="center"/>
          </w:tcPr>
          <w:p w14:paraId="6ECD546E" w14:textId="6116245F" w:rsidR="003652C3" w:rsidRPr="00D32BF3" w:rsidRDefault="003652C3" w:rsidP="003652C3">
            <w:pPr>
              <w:spacing w:after="0"/>
              <w:rPr>
                <w:sz w:val="18"/>
                <w:szCs w:val="18"/>
              </w:rPr>
            </w:pPr>
            <w:r w:rsidRPr="00D32BF3">
              <w:rPr>
                <w:sz w:val="18"/>
                <w:szCs w:val="18"/>
              </w:rPr>
              <w:t>201</w:t>
            </w:r>
            <w:r>
              <w:rPr>
                <w:sz w:val="18"/>
                <w:szCs w:val="18"/>
              </w:rPr>
              <w:t>8</w:t>
            </w:r>
          </w:p>
        </w:tc>
        <w:tc>
          <w:tcPr>
            <w:tcW w:w="1397" w:type="pct"/>
            <w:shd w:val="clear" w:color="auto" w:fill="auto"/>
            <w:vAlign w:val="center"/>
          </w:tcPr>
          <w:p w14:paraId="562CEC62" w14:textId="0D85BCD3" w:rsidR="003652C3" w:rsidRPr="00D32BF3" w:rsidRDefault="003652C3" w:rsidP="003652C3">
            <w:pPr>
              <w:spacing w:after="0"/>
              <w:jc w:val="center"/>
              <w:rPr>
                <w:sz w:val="18"/>
                <w:szCs w:val="18"/>
              </w:rPr>
            </w:pPr>
            <w:r w:rsidRPr="00D32BF3">
              <w:rPr>
                <w:sz w:val="18"/>
                <w:szCs w:val="18"/>
              </w:rPr>
              <w:t>-3.6</w:t>
            </w:r>
          </w:p>
        </w:tc>
        <w:tc>
          <w:tcPr>
            <w:tcW w:w="1302" w:type="pct"/>
            <w:shd w:val="clear" w:color="auto" w:fill="auto"/>
            <w:vAlign w:val="center"/>
          </w:tcPr>
          <w:p w14:paraId="14753F26" w14:textId="5EA9A578" w:rsidR="003652C3" w:rsidRPr="00D32BF3" w:rsidRDefault="003652C3" w:rsidP="003652C3">
            <w:pPr>
              <w:spacing w:after="0"/>
              <w:jc w:val="center"/>
              <w:rPr>
                <w:sz w:val="18"/>
                <w:szCs w:val="18"/>
              </w:rPr>
            </w:pPr>
            <w:r w:rsidRPr="00D32BF3">
              <w:rPr>
                <w:sz w:val="18"/>
                <w:szCs w:val="18"/>
              </w:rPr>
              <w:t>-2.4</w:t>
            </w:r>
          </w:p>
        </w:tc>
        <w:tc>
          <w:tcPr>
            <w:tcW w:w="1294" w:type="pct"/>
            <w:shd w:val="clear" w:color="auto" w:fill="auto"/>
            <w:vAlign w:val="center"/>
          </w:tcPr>
          <w:p w14:paraId="71045C95" w14:textId="2D3DDCFD" w:rsidR="003652C3" w:rsidRPr="00D32BF3" w:rsidRDefault="003652C3" w:rsidP="003652C3">
            <w:pPr>
              <w:spacing w:after="0"/>
              <w:jc w:val="center"/>
              <w:rPr>
                <w:sz w:val="18"/>
                <w:szCs w:val="18"/>
              </w:rPr>
            </w:pPr>
            <w:r w:rsidRPr="00D32BF3">
              <w:rPr>
                <w:sz w:val="18"/>
                <w:szCs w:val="18"/>
              </w:rPr>
              <w:t>-2.0</w:t>
            </w:r>
          </w:p>
        </w:tc>
      </w:tr>
      <w:tr w:rsidR="003652C3" w:rsidRPr="00D32BF3" w14:paraId="6EF8D8A7" w14:textId="77777777" w:rsidTr="0033254E">
        <w:trPr>
          <w:trHeight w:val="289"/>
        </w:trPr>
        <w:tc>
          <w:tcPr>
            <w:tcW w:w="1008" w:type="pct"/>
            <w:shd w:val="clear" w:color="auto" w:fill="auto"/>
            <w:vAlign w:val="center"/>
          </w:tcPr>
          <w:p w14:paraId="4DD08DD9" w14:textId="05011961" w:rsidR="003652C3" w:rsidRPr="00D32BF3" w:rsidRDefault="003652C3" w:rsidP="003652C3">
            <w:pPr>
              <w:spacing w:after="0"/>
              <w:rPr>
                <w:sz w:val="18"/>
                <w:szCs w:val="18"/>
              </w:rPr>
            </w:pPr>
            <w:r w:rsidRPr="00D32BF3">
              <w:rPr>
                <w:sz w:val="18"/>
                <w:szCs w:val="18"/>
              </w:rPr>
              <w:t>201</w:t>
            </w:r>
            <w:r>
              <w:rPr>
                <w:sz w:val="18"/>
                <w:szCs w:val="18"/>
              </w:rPr>
              <w:t>7</w:t>
            </w:r>
          </w:p>
        </w:tc>
        <w:tc>
          <w:tcPr>
            <w:tcW w:w="1397" w:type="pct"/>
            <w:shd w:val="clear" w:color="auto" w:fill="auto"/>
            <w:vAlign w:val="center"/>
          </w:tcPr>
          <w:p w14:paraId="54DEABD3" w14:textId="39539B12" w:rsidR="003652C3" w:rsidRPr="00D32BF3" w:rsidRDefault="003652C3" w:rsidP="003652C3">
            <w:pPr>
              <w:spacing w:after="0"/>
              <w:jc w:val="center"/>
              <w:rPr>
                <w:sz w:val="18"/>
                <w:szCs w:val="18"/>
              </w:rPr>
            </w:pPr>
            <w:r w:rsidRPr="00D32BF3">
              <w:rPr>
                <w:sz w:val="18"/>
                <w:szCs w:val="18"/>
              </w:rPr>
              <w:t>6.2</w:t>
            </w:r>
          </w:p>
        </w:tc>
        <w:tc>
          <w:tcPr>
            <w:tcW w:w="1302" w:type="pct"/>
            <w:shd w:val="clear" w:color="auto" w:fill="auto"/>
            <w:vAlign w:val="center"/>
          </w:tcPr>
          <w:p w14:paraId="7D72B05D" w14:textId="5770CE1D" w:rsidR="003652C3" w:rsidRPr="00D32BF3" w:rsidRDefault="003652C3" w:rsidP="003652C3">
            <w:pPr>
              <w:spacing w:after="0"/>
              <w:jc w:val="center"/>
              <w:rPr>
                <w:sz w:val="18"/>
                <w:szCs w:val="18"/>
              </w:rPr>
            </w:pPr>
            <w:r w:rsidRPr="00D32BF3">
              <w:rPr>
                <w:sz w:val="18"/>
                <w:szCs w:val="18"/>
              </w:rPr>
              <w:t>7.5</w:t>
            </w:r>
          </w:p>
        </w:tc>
        <w:tc>
          <w:tcPr>
            <w:tcW w:w="1294" w:type="pct"/>
            <w:shd w:val="clear" w:color="auto" w:fill="auto"/>
            <w:vAlign w:val="center"/>
          </w:tcPr>
          <w:p w14:paraId="33E4E383" w14:textId="1DA020CE" w:rsidR="003652C3" w:rsidRPr="00D32BF3" w:rsidRDefault="003652C3" w:rsidP="003652C3">
            <w:pPr>
              <w:spacing w:after="0"/>
              <w:jc w:val="center"/>
              <w:rPr>
                <w:sz w:val="18"/>
                <w:szCs w:val="18"/>
              </w:rPr>
            </w:pPr>
            <w:r w:rsidRPr="00D32BF3">
              <w:rPr>
                <w:sz w:val="18"/>
                <w:szCs w:val="18"/>
              </w:rPr>
              <w:t>3.4</w:t>
            </w:r>
          </w:p>
        </w:tc>
      </w:tr>
      <w:tr w:rsidR="003652C3" w:rsidRPr="00D32BF3" w14:paraId="5DCFE56E" w14:textId="77777777" w:rsidTr="0033254E">
        <w:trPr>
          <w:trHeight w:val="289"/>
        </w:trPr>
        <w:tc>
          <w:tcPr>
            <w:tcW w:w="1008" w:type="pct"/>
            <w:shd w:val="clear" w:color="auto" w:fill="auto"/>
            <w:vAlign w:val="center"/>
          </w:tcPr>
          <w:p w14:paraId="5B9C641F" w14:textId="53064E06" w:rsidR="003652C3" w:rsidRPr="00D32BF3" w:rsidRDefault="003652C3" w:rsidP="003652C3">
            <w:pPr>
              <w:spacing w:after="0"/>
              <w:rPr>
                <w:sz w:val="18"/>
                <w:szCs w:val="18"/>
              </w:rPr>
            </w:pPr>
            <w:r w:rsidRPr="00D32BF3">
              <w:rPr>
                <w:sz w:val="18"/>
                <w:szCs w:val="18"/>
              </w:rPr>
              <w:t>201</w:t>
            </w:r>
            <w:r>
              <w:rPr>
                <w:sz w:val="18"/>
                <w:szCs w:val="18"/>
              </w:rPr>
              <w:t>6</w:t>
            </w:r>
          </w:p>
        </w:tc>
        <w:tc>
          <w:tcPr>
            <w:tcW w:w="1397" w:type="pct"/>
            <w:shd w:val="clear" w:color="auto" w:fill="auto"/>
            <w:vAlign w:val="center"/>
          </w:tcPr>
          <w:p w14:paraId="19B9D101" w14:textId="53AE499E" w:rsidR="003652C3" w:rsidRPr="00D32BF3" w:rsidRDefault="003652C3" w:rsidP="003652C3">
            <w:pPr>
              <w:spacing w:after="0"/>
              <w:jc w:val="center"/>
              <w:rPr>
                <w:sz w:val="18"/>
                <w:szCs w:val="18"/>
              </w:rPr>
            </w:pPr>
            <w:r w:rsidRPr="00D32BF3">
              <w:rPr>
                <w:sz w:val="18"/>
                <w:szCs w:val="18"/>
              </w:rPr>
              <w:t>6.8</w:t>
            </w:r>
          </w:p>
        </w:tc>
        <w:tc>
          <w:tcPr>
            <w:tcW w:w="1302" w:type="pct"/>
            <w:shd w:val="clear" w:color="auto" w:fill="auto"/>
            <w:vAlign w:val="center"/>
          </w:tcPr>
          <w:p w14:paraId="0893E1BE" w14:textId="604B172D" w:rsidR="003652C3" w:rsidRPr="00D32BF3" w:rsidRDefault="003652C3" w:rsidP="003652C3">
            <w:pPr>
              <w:spacing w:after="0"/>
              <w:jc w:val="center"/>
              <w:rPr>
                <w:sz w:val="18"/>
                <w:szCs w:val="18"/>
              </w:rPr>
            </w:pPr>
            <w:r w:rsidRPr="00D32BF3">
              <w:rPr>
                <w:sz w:val="18"/>
                <w:szCs w:val="18"/>
              </w:rPr>
              <w:t>8.1</w:t>
            </w:r>
          </w:p>
        </w:tc>
        <w:tc>
          <w:tcPr>
            <w:tcW w:w="1294" w:type="pct"/>
            <w:shd w:val="clear" w:color="auto" w:fill="auto"/>
            <w:vAlign w:val="center"/>
          </w:tcPr>
          <w:p w14:paraId="2C47E95A" w14:textId="3BC4FEF3" w:rsidR="003652C3" w:rsidRPr="00D32BF3" w:rsidRDefault="003652C3" w:rsidP="003652C3">
            <w:pPr>
              <w:spacing w:after="0"/>
              <w:jc w:val="center"/>
              <w:rPr>
                <w:sz w:val="18"/>
                <w:szCs w:val="18"/>
              </w:rPr>
            </w:pPr>
            <w:r w:rsidRPr="00D32BF3">
              <w:rPr>
                <w:sz w:val="18"/>
                <w:szCs w:val="18"/>
              </w:rPr>
              <w:t>5.4</w:t>
            </w:r>
          </w:p>
        </w:tc>
      </w:tr>
      <w:tr w:rsidR="003652C3" w:rsidRPr="00D32BF3" w14:paraId="45E75570" w14:textId="77777777" w:rsidTr="0033254E">
        <w:trPr>
          <w:trHeight w:val="289"/>
        </w:trPr>
        <w:tc>
          <w:tcPr>
            <w:tcW w:w="1008" w:type="pct"/>
            <w:shd w:val="clear" w:color="auto" w:fill="auto"/>
            <w:vAlign w:val="center"/>
          </w:tcPr>
          <w:p w14:paraId="0BA18E99" w14:textId="39887057" w:rsidR="003652C3" w:rsidRPr="00D32BF3" w:rsidRDefault="003652C3" w:rsidP="003652C3">
            <w:pPr>
              <w:spacing w:after="0"/>
              <w:rPr>
                <w:sz w:val="18"/>
                <w:szCs w:val="18"/>
              </w:rPr>
            </w:pPr>
            <w:r w:rsidRPr="00D32BF3">
              <w:rPr>
                <w:sz w:val="18"/>
                <w:szCs w:val="18"/>
              </w:rPr>
              <w:t>201</w:t>
            </w:r>
            <w:r>
              <w:rPr>
                <w:sz w:val="18"/>
                <w:szCs w:val="18"/>
              </w:rPr>
              <w:t>5</w:t>
            </w:r>
          </w:p>
        </w:tc>
        <w:tc>
          <w:tcPr>
            <w:tcW w:w="1397" w:type="pct"/>
            <w:shd w:val="clear" w:color="auto" w:fill="auto"/>
            <w:vAlign w:val="center"/>
          </w:tcPr>
          <w:p w14:paraId="4FE82AB2" w14:textId="0F7595CF" w:rsidR="003652C3" w:rsidRPr="00D32BF3" w:rsidRDefault="003652C3" w:rsidP="003652C3">
            <w:pPr>
              <w:spacing w:after="0"/>
              <w:jc w:val="center"/>
              <w:rPr>
                <w:sz w:val="18"/>
                <w:szCs w:val="18"/>
              </w:rPr>
            </w:pPr>
            <w:r w:rsidRPr="00D32BF3">
              <w:rPr>
                <w:sz w:val="18"/>
                <w:szCs w:val="18"/>
              </w:rPr>
              <w:t>1.5</w:t>
            </w:r>
          </w:p>
        </w:tc>
        <w:tc>
          <w:tcPr>
            <w:tcW w:w="1302" w:type="pct"/>
            <w:shd w:val="clear" w:color="auto" w:fill="auto"/>
            <w:vAlign w:val="center"/>
          </w:tcPr>
          <w:p w14:paraId="18BAC176" w14:textId="2D00DE66" w:rsidR="003652C3" w:rsidRPr="00D32BF3" w:rsidRDefault="003652C3" w:rsidP="003652C3">
            <w:pPr>
              <w:spacing w:after="0"/>
              <w:jc w:val="center"/>
              <w:rPr>
                <w:sz w:val="18"/>
                <w:szCs w:val="18"/>
              </w:rPr>
            </w:pPr>
            <w:r w:rsidRPr="00D32BF3">
              <w:rPr>
                <w:sz w:val="18"/>
                <w:szCs w:val="18"/>
              </w:rPr>
              <w:t>2.8</w:t>
            </w:r>
          </w:p>
        </w:tc>
        <w:tc>
          <w:tcPr>
            <w:tcW w:w="1294" w:type="pct"/>
            <w:shd w:val="clear" w:color="auto" w:fill="auto"/>
            <w:vAlign w:val="center"/>
          </w:tcPr>
          <w:p w14:paraId="4F9C9AB1" w14:textId="1560AB60" w:rsidR="003652C3" w:rsidRPr="00D32BF3" w:rsidRDefault="003652C3" w:rsidP="003652C3">
            <w:pPr>
              <w:spacing w:after="0"/>
              <w:jc w:val="center"/>
              <w:rPr>
                <w:sz w:val="18"/>
                <w:szCs w:val="18"/>
              </w:rPr>
            </w:pPr>
            <w:r w:rsidRPr="00D32BF3">
              <w:rPr>
                <w:sz w:val="18"/>
                <w:szCs w:val="18"/>
              </w:rPr>
              <w:t>-0.9</w:t>
            </w:r>
          </w:p>
        </w:tc>
      </w:tr>
      <w:tr w:rsidR="003652C3" w:rsidRPr="00D32BF3" w14:paraId="5EE0F037" w14:textId="77777777" w:rsidTr="0033254E">
        <w:trPr>
          <w:trHeight w:val="289"/>
        </w:trPr>
        <w:tc>
          <w:tcPr>
            <w:tcW w:w="1008" w:type="pct"/>
            <w:shd w:val="clear" w:color="auto" w:fill="auto"/>
            <w:vAlign w:val="center"/>
          </w:tcPr>
          <w:p w14:paraId="56C57B0F" w14:textId="60B1871E" w:rsidR="003652C3" w:rsidRPr="00D32BF3" w:rsidRDefault="003652C3" w:rsidP="003652C3">
            <w:pPr>
              <w:spacing w:after="0"/>
              <w:rPr>
                <w:sz w:val="18"/>
                <w:szCs w:val="18"/>
              </w:rPr>
            </w:pPr>
            <w:r w:rsidRPr="00D32BF3">
              <w:rPr>
                <w:sz w:val="18"/>
                <w:szCs w:val="18"/>
              </w:rPr>
              <w:t>201</w:t>
            </w:r>
            <w:r>
              <w:rPr>
                <w:sz w:val="18"/>
                <w:szCs w:val="18"/>
              </w:rPr>
              <w:t>4</w:t>
            </w:r>
          </w:p>
        </w:tc>
        <w:tc>
          <w:tcPr>
            <w:tcW w:w="1397" w:type="pct"/>
            <w:shd w:val="clear" w:color="auto" w:fill="auto"/>
            <w:vAlign w:val="center"/>
          </w:tcPr>
          <w:p w14:paraId="710ED253" w14:textId="369F60C1" w:rsidR="003652C3" w:rsidRPr="00D32BF3" w:rsidRDefault="003652C3" w:rsidP="003652C3">
            <w:pPr>
              <w:spacing w:after="0"/>
              <w:jc w:val="center"/>
              <w:rPr>
                <w:sz w:val="18"/>
                <w:szCs w:val="18"/>
              </w:rPr>
            </w:pPr>
            <w:r w:rsidRPr="00D32BF3">
              <w:rPr>
                <w:sz w:val="18"/>
                <w:szCs w:val="18"/>
              </w:rPr>
              <w:t>9.1</w:t>
            </w:r>
          </w:p>
        </w:tc>
        <w:tc>
          <w:tcPr>
            <w:tcW w:w="1302" w:type="pct"/>
            <w:shd w:val="clear" w:color="auto" w:fill="auto"/>
            <w:vAlign w:val="center"/>
          </w:tcPr>
          <w:p w14:paraId="60A7BF39" w14:textId="58C0FD45" w:rsidR="003652C3" w:rsidRPr="00D32BF3" w:rsidRDefault="003652C3" w:rsidP="003652C3">
            <w:pPr>
              <w:spacing w:after="0"/>
              <w:jc w:val="center"/>
              <w:rPr>
                <w:sz w:val="18"/>
                <w:szCs w:val="18"/>
              </w:rPr>
            </w:pPr>
            <w:r w:rsidRPr="00D32BF3">
              <w:rPr>
                <w:sz w:val="18"/>
                <w:szCs w:val="18"/>
              </w:rPr>
              <w:t>10.5</w:t>
            </w:r>
          </w:p>
        </w:tc>
        <w:tc>
          <w:tcPr>
            <w:tcW w:w="1294" w:type="pct"/>
            <w:shd w:val="clear" w:color="auto" w:fill="auto"/>
            <w:vAlign w:val="center"/>
          </w:tcPr>
          <w:p w14:paraId="1E5FDE54" w14:textId="5289F9C0" w:rsidR="003652C3" w:rsidRPr="00D32BF3" w:rsidRDefault="003652C3" w:rsidP="003652C3">
            <w:pPr>
              <w:spacing w:after="0"/>
              <w:jc w:val="center"/>
              <w:rPr>
                <w:sz w:val="18"/>
                <w:szCs w:val="18"/>
              </w:rPr>
            </w:pPr>
            <w:r w:rsidRPr="00D32BF3">
              <w:rPr>
                <w:sz w:val="18"/>
                <w:szCs w:val="18"/>
              </w:rPr>
              <w:t>8.0</w:t>
            </w:r>
          </w:p>
        </w:tc>
      </w:tr>
    </w:tbl>
    <w:p w14:paraId="766C548E" w14:textId="6A95BBA4" w:rsidR="003304EF" w:rsidRDefault="00B133DF" w:rsidP="00AF572A">
      <w:pPr>
        <w:pStyle w:val="B17Sourcetext"/>
        <w:spacing w:line="240" w:lineRule="auto"/>
        <w:rPr>
          <w:lang w:val="en-GB"/>
        </w:rPr>
      </w:pPr>
      <w:r w:rsidRPr="00B133DF">
        <w:rPr>
          <w:lang w:val="en-GB"/>
        </w:rPr>
        <w:t>Source: Schroders as at 3</w:t>
      </w:r>
      <w:r w:rsidR="00EE4336">
        <w:rPr>
          <w:lang w:val="en-GB"/>
        </w:rPr>
        <w:t>1</w:t>
      </w:r>
      <w:r w:rsidRPr="00B133DF">
        <w:rPr>
          <w:lang w:val="en-GB"/>
        </w:rPr>
        <w:t>/12/</w:t>
      </w:r>
      <w:r w:rsidR="000931F5">
        <w:rPr>
          <w:lang w:val="en-GB"/>
        </w:rPr>
        <w:t>202</w:t>
      </w:r>
      <w:r w:rsidR="003652C3">
        <w:rPr>
          <w:lang w:val="en-GB"/>
        </w:rPr>
        <w:t>3</w:t>
      </w:r>
      <w:r w:rsidRPr="00B133DF">
        <w:rPr>
          <w:lang w:val="en-GB"/>
        </w:rPr>
        <w:t xml:space="preserve"> net of fees (where applicable), NAV to NAV (bid to bid)</w:t>
      </w:r>
      <w:r w:rsidR="009003A8">
        <w:rPr>
          <w:lang w:val="en-GB"/>
        </w:rPr>
        <w:t>, EUR</w:t>
      </w:r>
      <w:r w:rsidRPr="00B133DF">
        <w:rPr>
          <w:lang w:val="en-GB"/>
        </w:rPr>
        <w:t>. **</w:t>
      </w:r>
      <w:proofErr w:type="spellStart"/>
      <w:r w:rsidRPr="00B133DF">
        <w:rPr>
          <w:lang w:val="en-GB"/>
        </w:rPr>
        <w:t>iBoxx</w:t>
      </w:r>
      <w:proofErr w:type="spellEnd"/>
      <w:r w:rsidRPr="00B133DF">
        <w:rPr>
          <w:lang w:val="en-GB"/>
        </w:rPr>
        <w:t xml:space="preserve"> EUR </w:t>
      </w:r>
      <w:r w:rsidR="00552AA6">
        <w:rPr>
          <w:lang w:val="en-GB"/>
        </w:rPr>
        <w:t xml:space="preserve">Corp </w:t>
      </w:r>
      <w:r w:rsidRPr="00B133DF">
        <w:rPr>
          <w:lang w:val="en-GB"/>
        </w:rPr>
        <w:t xml:space="preserve">BBB. </w:t>
      </w:r>
      <w:r w:rsidR="00E12F46" w:rsidRPr="00E12F46">
        <w:rPr>
          <w:lang w:val="en-GB"/>
        </w:rPr>
        <w:t xml:space="preserve">The fund's performance should be assessed against its target </w:t>
      </w:r>
      <w:r w:rsidR="00E12F46">
        <w:rPr>
          <w:lang w:val="en-GB"/>
        </w:rPr>
        <w:t>of exceeding</w:t>
      </w:r>
      <w:r w:rsidR="00E12F46" w:rsidRPr="00E12F46">
        <w:rPr>
          <w:lang w:val="en-GB"/>
        </w:rPr>
        <w:t xml:space="preserve"> the </w:t>
      </w:r>
      <w:proofErr w:type="spellStart"/>
      <w:r w:rsidR="00E12F46" w:rsidRPr="00E12F46">
        <w:rPr>
          <w:lang w:val="en-GB"/>
        </w:rPr>
        <w:t>iBoxx</w:t>
      </w:r>
      <w:proofErr w:type="spellEnd"/>
      <w:r w:rsidR="00E12F46" w:rsidRPr="00E12F46">
        <w:rPr>
          <w:lang w:val="en-GB"/>
        </w:rPr>
        <w:t xml:space="preserve"> EUR Corporates BBB (TR)</w:t>
      </w:r>
      <w:r w:rsidR="00525DF8">
        <w:rPr>
          <w:lang w:val="en-GB"/>
        </w:rPr>
        <w:t xml:space="preserve"> 1-5</w:t>
      </w:r>
      <w:r w:rsidR="00E12F46" w:rsidRPr="00E12F46">
        <w:rPr>
          <w:lang w:val="en-GB"/>
        </w:rPr>
        <w:t xml:space="preserve"> index. The fund's investment universe is expected to overlap to a limited extent with the components of the target benchmark.</w:t>
      </w:r>
    </w:p>
    <w:p w14:paraId="34F4BEFA" w14:textId="77777777" w:rsidR="007B38D2" w:rsidRDefault="00544885" w:rsidP="002A071A">
      <w:pPr>
        <w:pStyle w:val="B17BulletedtextRegular"/>
        <w:numPr>
          <w:ilvl w:val="0"/>
          <w:numId w:val="0"/>
        </w:numPr>
      </w:pPr>
      <w:r w:rsidRPr="00544885">
        <w:t>Past performance is not a reliable indicator of future results. The value of investments and the income from them may fall as well as rise and investors may not get back the amount originally invested.</w:t>
      </w:r>
      <w:r w:rsidR="002A071A">
        <w:t xml:space="preserve"> </w:t>
      </w:r>
      <w:r w:rsidRPr="00544885">
        <w:t>Some performance differences between the fund and the benchmark may arise because the fund performance is calculated at a different valuation point from the benchmark.</w:t>
      </w:r>
      <w:r w:rsidR="002A071A">
        <w:t xml:space="preserve"> </w:t>
      </w:r>
      <w:r w:rsidRPr="00544885">
        <w:t>Please see the respective fund factsheets for the per</w:t>
      </w:r>
      <w:r w:rsidR="000A249B">
        <w:t xml:space="preserve">formance of other share classes. </w:t>
      </w:r>
    </w:p>
    <w:p w14:paraId="2C4F4C2C" w14:textId="77777777" w:rsidR="007B1280" w:rsidRDefault="007B1280" w:rsidP="007B1280">
      <w:pPr>
        <w:pStyle w:val="B17BulletedtextRegular"/>
        <w:numPr>
          <w:ilvl w:val="0"/>
          <w:numId w:val="0"/>
        </w:numPr>
        <w:ind w:left="425"/>
      </w:pPr>
    </w:p>
    <w:p w14:paraId="7929F52B" w14:textId="77777777" w:rsidR="000A249B" w:rsidRDefault="000A249B" w:rsidP="00410703">
      <w:pPr>
        <w:pStyle w:val="B17BulletedtextRegular"/>
        <w:numPr>
          <w:ilvl w:val="0"/>
          <w:numId w:val="0"/>
        </w:numPr>
        <w:sectPr w:rsidR="000A249B" w:rsidSect="00A74599">
          <w:type w:val="continuous"/>
          <w:pgSz w:w="11906" w:h="16838" w:code="9"/>
          <w:pgMar w:top="624" w:right="992" w:bottom="851" w:left="992" w:header="709" w:footer="576" w:gutter="0"/>
          <w:cols w:num="2" w:space="284"/>
          <w:titlePg/>
          <w:docGrid w:linePitch="360"/>
        </w:sectPr>
      </w:pPr>
    </w:p>
    <w:bookmarkEnd w:id="0"/>
    <w:p w14:paraId="59AF73DF" w14:textId="77777777" w:rsidR="00FA6433" w:rsidRDefault="00662112" w:rsidP="00662112">
      <w:pPr>
        <w:pStyle w:val="B17SectionHeading14ptUnderscore"/>
      </w:pPr>
      <w:r>
        <w:t xml:space="preserve">Risk </w:t>
      </w:r>
      <w:proofErr w:type="gramStart"/>
      <w:r>
        <w:t>considerations</w:t>
      </w:r>
      <w:proofErr w:type="gramEnd"/>
    </w:p>
    <w:p w14:paraId="3AFD1897" w14:textId="77777777" w:rsidR="00F11DFB" w:rsidRDefault="00F11DFB" w:rsidP="004E0832">
      <w:pPr>
        <w:pStyle w:val="BodyText"/>
        <w:sectPr w:rsidR="00F11DFB" w:rsidSect="00A74599">
          <w:type w:val="continuous"/>
          <w:pgSz w:w="11906" w:h="16838" w:code="9"/>
          <w:pgMar w:top="624" w:right="992" w:bottom="851" w:left="992" w:header="709" w:footer="284" w:gutter="0"/>
          <w:cols w:space="284"/>
          <w:docGrid w:linePitch="360"/>
        </w:sectPr>
      </w:pPr>
    </w:p>
    <w:p w14:paraId="1AA525E2" w14:textId="77777777" w:rsidR="005C07B7" w:rsidRDefault="005C07B7">
      <w:pPr>
        <w:pStyle w:val="B17BulletedtextRegular"/>
      </w:pPr>
      <w:r w:rsidRPr="00D02284">
        <w:rPr>
          <w:b/>
          <w:bCs/>
        </w:rPr>
        <w:t>ABS and MBS risk</w:t>
      </w:r>
      <w:r>
        <w:t>: The fund may invest in mortgage or asset-backed securities. The underlying borrowers of these securities may not be able to pay back the full amount that they owe, which may result in losses to the fund.</w:t>
      </w:r>
    </w:p>
    <w:p w14:paraId="4CAB1E73" w14:textId="77777777" w:rsidR="005C07B7" w:rsidRDefault="005C07B7">
      <w:pPr>
        <w:pStyle w:val="B17BulletedtextRegular"/>
      </w:pPr>
      <w:r w:rsidRPr="00D02284">
        <w:rPr>
          <w:b/>
          <w:bCs/>
        </w:rPr>
        <w:t>Capital risk / distribution policy</w:t>
      </w:r>
      <w:r>
        <w:t>: As the fund intends to pay dividends regardless of its performance, a dividend may represent a return of part of the amount you invested.</w:t>
      </w:r>
    </w:p>
    <w:p w14:paraId="5BBC0954" w14:textId="77777777" w:rsidR="005C07B7" w:rsidRDefault="005C07B7">
      <w:pPr>
        <w:pStyle w:val="B17BulletedtextRegular"/>
      </w:pPr>
      <w:r w:rsidRPr="00D02284">
        <w:rPr>
          <w:b/>
          <w:bCs/>
        </w:rPr>
        <w:t>Contingent convertible bonds</w:t>
      </w:r>
      <w:r>
        <w:t>: The fund may invest in contingent convertible bonds. If the financial strength of the issuer of a contingent convertible bond falls in a prescribed way, the value of the bond may fall significantly and, in the worst case, may result in losses to the fund.</w:t>
      </w:r>
    </w:p>
    <w:p w14:paraId="57BEB667" w14:textId="77777777" w:rsidR="005C07B7" w:rsidRDefault="005C07B7">
      <w:pPr>
        <w:pStyle w:val="B17BulletedtextRegular"/>
      </w:pPr>
      <w:r w:rsidRPr="00D02284">
        <w:rPr>
          <w:b/>
          <w:bCs/>
        </w:rPr>
        <w:t>Counterparty risk</w:t>
      </w:r>
      <w:r>
        <w:t xml:space="preserve">: The fund may have contractual agreements with counterparties. If a counterparty is unable to fulfil their obligations, the sum that </w:t>
      </w:r>
      <w:r>
        <w:t>they owe to the fund may be lost in part or in whole.</w:t>
      </w:r>
    </w:p>
    <w:p w14:paraId="4A6873EB" w14:textId="77777777" w:rsidR="005C07B7" w:rsidRDefault="005C07B7">
      <w:pPr>
        <w:pStyle w:val="B17BulletedtextRegular"/>
      </w:pPr>
      <w:r w:rsidRPr="00D02284">
        <w:rPr>
          <w:b/>
          <w:bCs/>
        </w:rPr>
        <w:t>Credit risk</w:t>
      </w:r>
      <w:r>
        <w:t>: A decline in the financial health of an issuer could cause the value of its bonds to fall or become worthless.</w:t>
      </w:r>
    </w:p>
    <w:p w14:paraId="2433EACB" w14:textId="77777777" w:rsidR="005C07B7" w:rsidRDefault="005C07B7">
      <w:pPr>
        <w:pStyle w:val="B17BulletedtextRegular"/>
      </w:pPr>
      <w:r w:rsidRPr="00D02284">
        <w:rPr>
          <w:b/>
          <w:bCs/>
        </w:rPr>
        <w:t>Currency risk</w:t>
      </w:r>
      <w:r>
        <w:t xml:space="preserve">: The fund may lose value </w:t>
      </w:r>
      <w:proofErr w:type="gramStart"/>
      <w:r>
        <w:t>as a result of</w:t>
      </w:r>
      <w:proofErr w:type="gramEnd"/>
      <w:r>
        <w:t xml:space="preserve"> movements in foreign exchange rates.</w:t>
      </w:r>
    </w:p>
    <w:p w14:paraId="76C34137" w14:textId="77777777" w:rsidR="0013369B" w:rsidRPr="0013369B" w:rsidRDefault="0013369B">
      <w:pPr>
        <w:pStyle w:val="B17BulletedtextRegular"/>
      </w:pPr>
      <w:r w:rsidRPr="0013369B">
        <w:rPr>
          <w:b/>
          <w:bCs/>
        </w:rPr>
        <w:t xml:space="preserve">Currency risk / hedged </w:t>
      </w:r>
      <w:proofErr w:type="spellStart"/>
      <w:r w:rsidRPr="0013369B">
        <w:rPr>
          <w:b/>
          <w:bCs/>
        </w:rPr>
        <w:t>shareclass</w:t>
      </w:r>
      <w:proofErr w:type="spellEnd"/>
      <w:r>
        <w:rPr>
          <w:b/>
          <w:bCs/>
        </w:rPr>
        <w:t xml:space="preserve">: </w:t>
      </w:r>
      <w:r w:rsidRPr="0013369B">
        <w:t>The hedging of the share class may not be fully effective and residual currency exposure may remain. The cost associated with hedging may impact performance and potential gains may be more limited than for unhedged share classes.</w:t>
      </w:r>
    </w:p>
    <w:p w14:paraId="3BA9C228" w14:textId="77777777" w:rsidR="00071EF9" w:rsidRPr="0013369B" w:rsidRDefault="00071EF9">
      <w:pPr>
        <w:pStyle w:val="B17BulletedtextRegular"/>
      </w:pPr>
      <w:r w:rsidRPr="00C45078">
        <w:rPr>
          <w:b/>
          <w:bCs/>
        </w:rPr>
        <w:t>Derivatives risk</w:t>
      </w:r>
      <w:r>
        <w:rPr>
          <w:b/>
          <w:bCs/>
        </w:rPr>
        <w:t xml:space="preserve">: </w:t>
      </w:r>
      <w:r w:rsidR="0013369B" w:rsidRPr="0013369B">
        <w:t xml:space="preserve">Derivatives may be used to manage the portfolio efficiently. The fund may also materially invest in derivatives including using short selling and leverage techniques with the aim of making a return. A derivative may not perform as expected, may create losses greater than the cost </w:t>
      </w:r>
      <w:r w:rsidR="0013369B" w:rsidRPr="0013369B">
        <w:lastRenderedPageBreak/>
        <w:t>of the derivative and may result in losses to the fund.</w:t>
      </w:r>
    </w:p>
    <w:p w14:paraId="7A8A5703" w14:textId="77777777" w:rsidR="005C07B7" w:rsidRDefault="005C07B7">
      <w:pPr>
        <w:pStyle w:val="B17BulletedtextRegular"/>
      </w:pPr>
      <w:r w:rsidRPr="00D02284">
        <w:rPr>
          <w:b/>
          <w:bCs/>
        </w:rPr>
        <w:t>High yield bond risk</w:t>
      </w:r>
      <w:r>
        <w:t xml:space="preserve">: High yield bonds (normally lower rated or unrated) generally carry greater market, </w:t>
      </w:r>
      <w:proofErr w:type="gramStart"/>
      <w:r>
        <w:t>credit</w:t>
      </w:r>
      <w:proofErr w:type="gramEnd"/>
      <w:r>
        <w:t xml:space="preserve"> and liquidity risk.</w:t>
      </w:r>
    </w:p>
    <w:p w14:paraId="2839102B" w14:textId="77777777" w:rsidR="005C07B7" w:rsidRDefault="005C07B7">
      <w:pPr>
        <w:pStyle w:val="B17BulletedtextRegular"/>
      </w:pPr>
      <w:r w:rsidRPr="00D02284">
        <w:rPr>
          <w:b/>
          <w:bCs/>
        </w:rPr>
        <w:t>IBOR risk</w:t>
      </w:r>
      <w:r>
        <w:t>: The transition of the financial markets away from the use of interbank offered rates (IBORs) to alternative reference rates may impact the valuation of certain holdings and disrupt liquidity in certain instruments. This may impact the investment performance of the fund.</w:t>
      </w:r>
    </w:p>
    <w:p w14:paraId="302E01B0" w14:textId="77777777" w:rsidR="005C07B7" w:rsidRDefault="005C07B7">
      <w:pPr>
        <w:pStyle w:val="B17BulletedtextRegular"/>
      </w:pPr>
      <w:r w:rsidRPr="00D02284">
        <w:rPr>
          <w:b/>
          <w:bCs/>
        </w:rPr>
        <w:t>Interest rate risk</w:t>
      </w:r>
      <w:r>
        <w:t>: The fund may lose value as a direct result of interest rate changes.</w:t>
      </w:r>
    </w:p>
    <w:p w14:paraId="70037C06" w14:textId="77777777" w:rsidR="005C07B7" w:rsidRDefault="005C07B7">
      <w:pPr>
        <w:pStyle w:val="B17BulletedtextRegular"/>
      </w:pPr>
      <w:r w:rsidRPr="00D02284">
        <w:rPr>
          <w:b/>
          <w:bCs/>
        </w:rPr>
        <w:t>Liquidity risk</w:t>
      </w:r>
      <w:r>
        <w:t>: In difficult market conditions, the fund may not be able to sell a security for full value or at all. This could affect performance and could cause the fund to defer or suspend redemptions of its shares.</w:t>
      </w:r>
    </w:p>
    <w:p w14:paraId="50B9F022" w14:textId="77777777" w:rsidR="005C07B7" w:rsidRDefault="005C07B7">
      <w:pPr>
        <w:pStyle w:val="B17BulletedtextRegular"/>
      </w:pPr>
      <w:r w:rsidRPr="00D02284">
        <w:rPr>
          <w:b/>
          <w:bCs/>
        </w:rPr>
        <w:t>Market risk</w:t>
      </w:r>
      <w:r>
        <w:t>: The value of investments can go up and down and an investor may not get back the amount initially invested.</w:t>
      </w:r>
    </w:p>
    <w:p w14:paraId="083E2F3B" w14:textId="77777777" w:rsidR="005C07B7" w:rsidRDefault="005C07B7">
      <w:pPr>
        <w:pStyle w:val="B17BulletedtextRegular"/>
      </w:pPr>
      <w:r w:rsidRPr="00D02284">
        <w:rPr>
          <w:b/>
          <w:bCs/>
        </w:rPr>
        <w:t>Operational risk</w:t>
      </w:r>
      <w:r>
        <w:t>: Operational processes, including those related to the safekeeping of assets, may fail. This may result in losses to the fund.</w:t>
      </w:r>
    </w:p>
    <w:p w14:paraId="54A6ACF8" w14:textId="77777777" w:rsidR="0013369B" w:rsidRDefault="0013369B">
      <w:pPr>
        <w:pStyle w:val="B17BulletedtextRegular"/>
      </w:pPr>
      <w:r w:rsidRPr="0013369B">
        <w:rPr>
          <w:b/>
          <w:bCs/>
        </w:rPr>
        <w:t>Performance risk</w:t>
      </w:r>
      <w:r>
        <w:t xml:space="preserve">: </w:t>
      </w:r>
      <w:r w:rsidRPr="0013369B">
        <w:t xml:space="preserve">Investment objectives express an intended result but there is no guarantee that such a result will be achieved. Depending on market conditions and the </w:t>
      </w:r>
      <w:proofErr w:type="spellStart"/>
      <w:r w:rsidRPr="0013369B">
        <w:t>macro economic</w:t>
      </w:r>
      <w:proofErr w:type="spellEnd"/>
      <w:r w:rsidRPr="0013369B">
        <w:t xml:space="preserve"> environment, investment objectives may become more difficult to achieve.</w:t>
      </w:r>
    </w:p>
    <w:p w14:paraId="19468B53" w14:textId="77777777" w:rsidR="005C07B7" w:rsidRDefault="005C07B7">
      <w:pPr>
        <w:pStyle w:val="B17BulletedtextRegular"/>
      </w:pPr>
      <w:r w:rsidRPr="00D02284">
        <w:rPr>
          <w:b/>
          <w:bCs/>
        </w:rPr>
        <w:t>Sustainability risk</w:t>
      </w:r>
      <w:r>
        <w:t xml:space="preserve">: The fund has environmental and/or social characteristics. This means it may have limited exposure to some companies, industries or sectors and may forego certain investment opportunities, or dispose of certain holdings, that do not align with its sustainability criteria. Therefore, the fund may underperform other funds that do not apply similar criteria. The fund may invest in companies that do not reflect the beliefs and values of any </w:t>
      </w:r>
      <w:proofErr w:type="gramStart"/>
      <w:r>
        <w:t>particular investor</w:t>
      </w:r>
      <w:proofErr w:type="gramEnd"/>
      <w:r>
        <w:t>.</w:t>
      </w:r>
    </w:p>
    <w:p w14:paraId="425BB1D7" w14:textId="77777777" w:rsidR="00B22A24" w:rsidRDefault="00B22A24" w:rsidP="00B22A24">
      <w:pPr>
        <w:pStyle w:val="B17BulletedtextRegular"/>
        <w:numPr>
          <w:ilvl w:val="0"/>
          <w:numId w:val="0"/>
        </w:numPr>
        <w:ind w:left="425" w:hanging="425"/>
        <w:sectPr w:rsidR="00B22A24" w:rsidSect="00A74599">
          <w:type w:val="continuous"/>
          <w:pgSz w:w="11906" w:h="16838" w:code="9"/>
          <w:pgMar w:top="624" w:right="992" w:bottom="851" w:left="992" w:header="709" w:footer="284" w:gutter="0"/>
          <w:cols w:num="2" w:space="284"/>
          <w:docGrid w:linePitch="360"/>
        </w:sectPr>
      </w:pPr>
    </w:p>
    <w:p w14:paraId="52C251E8" w14:textId="77777777" w:rsidR="00662112" w:rsidRPr="004E0832" w:rsidRDefault="00662112" w:rsidP="004E0832">
      <w:pPr>
        <w:pStyle w:val="BodyText"/>
        <w:sectPr w:rsidR="00662112" w:rsidRPr="004E0832" w:rsidSect="00A74599">
          <w:type w:val="continuous"/>
          <w:pgSz w:w="11906" w:h="16838" w:code="9"/>
          <w:pgMar w:top="624" w:right="992" w:bottom="851" w:left="992" w:header="709" w:footer="284" w:gutter="0"/>
          <w:cols w:space="284"/>
          <w:docGrid w:linePitch="360"/>
        </w:sectPr>
      </w:pPr>
    </w:p>
    <w:p w14:paraId="03CD1218" w14:textId="77777777" w:rsidR="00F11DFB" w:rsidRDefault="00F11DFB" w:rsidP="00F11DFB">
      <w:pPr>
        <w:pStyle w:val="B17SectionHeading14ptUnderscore"/>
        <w:rPr>
          <w:b/>
          <w:bCs/>
        </w:rPr>
      </w:pPr>
      <w:r>
        <w:rPr>
          <w:b/>
          <w:bCs/>
        </w:rPr>
        <w:t>Important information</w:t>
      </w:r>
    </w:p>
    <w:p w14:paraId="6D3BC9E7" w14:textId="77777777" w:rsidR="00C97C87" w:rsidRDefault="00C97C87" w:rsidP="0036046C">
      <w:pPr>
        <w:pStyle w:val="B17Disclaimertext"/>
        <w:spacing w:line="240" w:lineRule="auto"/>
        <w:rPr>
          <w:bCs/>
        </w:rPr>
      </w:pPr>
      <w:r w:rsidRPr="00C97C87">
        <w:rPr>
          <w:bCs/>
        </w:rPr>
        <w:t xml:space="preserve">Marketing material for professional clients and qualified investors only. This document does not constitute an offer to anyone, or a solicitation by anyone, to subscribe for shares of Schroder International Selection Fund (the “Company”). Nothing in this document should be construed as advice and is therefore not a recommendation to buy or sell shares. An investment in the Company entails risks, which are fully described in the prospectus. Subscriptions for shares of the Company can only be made </w:t>
      </w:r>
      <w:proofErr w:type="gramStart"/>
      <w:r w:rsidRPr="00C97C87">
        <w:rPr>
          <w:bCs/>
        </w:rPr>
        <w:t>on the basis of</w:t>
      </w:r>
      <w:proofErr w:type="gramEnd"/>
      <w:r w:rsidRPr="00C97C87">
        <w:rPr>
          <w:bCs/>
        </w:rPr>
        <w:t xml:space="preserve"> its latest Key Investor Information Document and prospectus, together with the latest audited annual report (and subsequent unaudited semi-annual report, if published), copies of which can be obtained, free of charge, from Schroder Investment Management (Europe) S.A.</w:t>
      </w:r>
      <w:r w:rsidR="006A3F13" w:rsidRPr="00D32BF3">
        <w:rPr>
          <w:rFonts w:eastAsia="Noto Sans" w:cs="Times New Roman"/>
          <w:bCs/>
          <w:sz w:val="17"/>
        </w:rPr>
        <w:t xml:space="preserve"> </w:t>
      </w:r>
      <w:r w:rsidR="006A3F13" w:rsidRPr="006A3F13">
        <w:rPr>
          <w:bCs/>
        </w:rPr>
        <w:t xml:space="preserve">These documents may be obtained in English, free of charge, from the following link: </w:t>
      </w:r>
      <w:hyperlink r:id="rId38" w:history="1">
        <w:r w:rsidR="006A3F13" w:rsidRPr="006A3F13">
          <w:rPr>
            <w:rStyle w:val="Hyperlink"/>
            <w:bCs/>
          </w:rPr>
          <w:t>www.eifs.lu/schroders</w:t>
        </w:r>
      </w:hyperlink>
      <w:r w:rsidR="006A3F13" w:rsidRPr="006A3F13">
        <w:rPr>
          <w:bCs/>
        </w:rPr>
        <w:t>.</w:t>
      </w:r>
      <w:r w:rsidRPr="00C97C87">
        <w:rPr>
          <w:bCs/>
        </w:rPr>
        <w:t xml:space="preserve"> Schroder Investment Management (Switzerland) AG is the Swiss representative («Swiss Representative»</w:t>
      </w:r>
      <w:proofErr w:type="gramStart"/>
      <w:r w:rsidRPr="00C97C87">
        <w:rPr>
          <w:bCs/>
        </w:rPr>
        <w:t>)</w:t>
      </w:r>
      <w:proofErr w:type="gramEnd"/>
      <w:r w:rsidRPr="00C97C87">
        <w:rPr>
          <w:bCs/>
        </w:rPr>
        <w:t xml:space="preserve"> and Schroder &amp; Co Bank AG is the paying agent in Switzerland of the Luxembourg domiciled Schroder International Selection Fund. The prospectus for Switzerland, the key information documents, the articles of association and the annual and semi-annual reports may be obtained free of charge from the Swiss Representative. For the UK, these documents can be obtained in English, free of charge, from the Facilities Agent Schroder Investment Management Ltd, 1 London Wall Place, London EC2Y 5AU or at www.schroders.co.uk. Schroders may decide to cease the distribution of any fund(s) in any EEA country at any </w:t>
      </w:r>
      <w:proofErr w:type="gramStart"/>
      <w:r w:rsidRPr="00C97C87">
        <w:rPr>
          <w:bCs/>
        </w:rPr>
        <w:t>time</w:t>
      </w:r>
      <w:proofErr w:type="gramEnd"/>
      <w:r w:rsidRPr="00C97C87">
        <w:rPr>
          <w:bCs/>
        </w:rPr>
        <w:t xml:space="preserve"> but we will publish our intention to do so on our website, in line with applicable regulatory requirements. The fund has environmental and/or social characteristics within the meaning of Article 8 of Regulation (EU) 2019/2088 on Sustainability-related Disclosures in the Financial Services Sector (the “SFDR”). Any reference to sectors/countries/stocks/securities are for illustrative purposes only and not a recommendation to buy or sell any financial instrument/securities or adopt any investment strategy. Past Performance is not a guide to future performance and may not be repeated. The value of investments and the income from them may go down as well as up and investors may not get back the amounts originally </w:t>
      </w:r>
      <w:r w:rsidRPr="00C97C87">
        <w:rPr>
          <w:bCs/>
        </w:rPr>
        <w:t xml:space="preserve">invested. Exchange rate changes may cause the value of investments to fall as well as rise. Schroders has expressed its own views and opinions in this </w:t>
      </w:r>
      <w:proofErr w:type="gramStart"/>
      <w:r w:rsidRPr="00C97C87">
        <w:rPr>
          <w:bCs/>
        </w:rPr>
        <w:t>document</w:t>
      </w:r>
      <w:proofErr w:type="gramEnd"/>
      <w:r w:rsidRPr="00C97C87">
        <w:rPr>
          <w:bCs/>
        </w:rPr>
        <w:t xml:space="preserve"> and these may change. Third party data including MSCI data is owned or licensed by the data provider and may not be reproduced or extracted and used for any other purpose without the data provider's consent. Third party data is provided without any warranties of any kind. The data provider and issuer of the document shall have no liability in connection with the </w:t>
      </w:r>
      <w:proofErr w:type="gramStart"/>
      <w:r w:rsidRPr="00C97C87">
        <w:rPr>
          <w:bCs/>
        </w:rPr>
        <w:t>third party</w:t>
      </w:r>
      <w:proofErr w:type="gramEnd"/>
      <w:r w:rsidRPr="00C97C87">
        <w:rPr>
          <w:bCs/>
        </w:rPr>
        <w:t xml:space="preserve"> data. The terms of the third party’s specific disclaimers, if any, are set forth in the Important Information section at </w:t>
      </w:r>
      <w:hyperlink r:id="rId39" w:history="1">
        <w:r w:rsidR="00C47866" w:rsidRPr="003A77FF">
          <w:rPr>
            <w:rStyle w:val="Hyperlink"/>
            <w:bCs/>
          </w:rPr>
          <w:t>www.schroders.com</w:t>
        </w:r>
      </w:hyperlink>
      <w:r w:rsidRPr="00C97C87">
        <w:rPr>
          <w:bCs/>
        </w:rPr>
        <w:t xml:space="preserve">. Schroders will be a data controller in respect of your personal data. For information on how Schroders might process your personal data, please view our Privacy Policy available at </w:t>
      </w:r>
      <w:hyperlink r:id="rId40" w:history="1">
        <w:r w:rsidR="00C47866" w:rsidRPr="003A77FF">
          <w:rPr>
            <w:rStyle w:val="Hyperlink"/>
            <w:bCs/>
          </w:rPr>
          <w:t>www.schroders.com/en/privacy-policy/</w:t>
        </w:r>
      </w:hyperlink>
      <w:r w:rsidR="00C47866">
        <w:rPr>
          <w:bCs/>
        </w:rPr>
        <w:t xml:space="preserve"> </w:t>
      </w:r>
      <w:r w:rsidRPr="00C97C87">
        <w:rPr>
          <w:bCs/>
        </w:rPr>
        <w:t xml:space="preserve">or on request should you not have access to this webpage. A summary of investor rights may be obtained from </w:t>
      </w:r>
      <w:hyperlink r:id="rId41" w:history="1">
        <w:r w:rsidR="00C47866" w:rsidRPr="003A77FF">
          <w:rPr>
            <w:rStyle w:val="Hyperlink"/>
            <w:bCs/>
          </w:rPr>
          <w:t>https://www.schroders.com/en/lu/professional-investor/footer/complaints-handling/</w:t>
        </w:r>
      </w:hyperlink>
      <w:r w:rsidR="00C47866">
        <w:rPr>
          <w:bCs/>
        </w:rPr>
        <w:t xml:space="preserve"> </w:t>
      </w:r>
      <w:r w:rsidRPr="00C97C87">
        <w:rPr>
          <w:bCs/>
        </w:rPr>
        <w:t>For your security, communications may be recorded or monitored. Distributed in the UK by Schroder Investment Management Ltd, 1 London Wall Place, London EC2Y 5AU. Registration No 1893220 England. Authorised and regulated by the Financial Conduct Authority.</w:t>
      </w:r>
    </w:p>
    <w:p w14:paraId="29BDA30C" w14:textId="77777777" w:rsidR="005E3C40" w:rsidRPr="005E3C40" w:rsidRDefault="005E3C40" w:rsidP="00DB083C">
      <w:pPr>
        <w:pStyle w:val="B17Disclaimertext"/>
        <w:spacing w:line="240" w:lineRule="auto"/>
      </w:pPr>
    </w:p>
    <w:sectPr w:rsidR="005E3C40" w:rsidRPr="005E3C40" w:rsidSect="00A74599">
      <w:type w:val="continuous"/>
      <w:pgSz w:w="11906" w:h="16838" w:code="9"/>
      <w:pgMar w:top="624" w:right="992" w:bottom="851" w:left="992" w:header="709" w:footer="576"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92E" w14:textId="77777777" w:rsidR="00A74599" w:rsidRDefault="00A74599" w:rsidP="00EC4E49">
      <w:pPr>
        <w:spacing w:after="0"/>
      </w:pPr>
      <w:r>
        <w:separator/>
      </w:r>
    </w:p>
  </w:endnote>
  <w:endnote w:type="continuationSeparator" w:id="0">
    <w:p w14:paraId="4CA97E3C" w14:textId="77777777" w:rsidR="00A74599" w:rsidRDefault="00A74599" w:rsidP="00EC4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Schroders Circular TT">
    <w:panose1 w:val="020B08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2526" w14:textId="77777777" w:rsidR="00871E8C" w:rsidRDefault="00871E8C" w:rsidP="00326778">
    <w:pPr>
      <w:pStyle w:val="Footer"/>
    </w:pPr>
  </w:p>
  <w:tbl>
    <w:tblPr>
      <w:tblW w:w="5000" w:type="pct"/>
      <w:tblLayout w:type="fixed"/>
      <w:tblCellMar>
        <w:left w:w="0" w:type="dxa"/>
        <w:right w:w="0" w:type="dxa"/>
      </w:tblCellMar>
      <w:tblLook w:val="04A0" w:firstRow="1" w:lastRow="0" w:firstColumn="1" w:lastColumn="0" w:noHBand="0" w:noVBand="1"/>
    </w:tblPr>
    <w:tblGrid>
      <w:gridCol w:w="371"/>
      <w:gridCol w:w="9551"/>
    </w:tblGrid>
    <w:tr w:rsidR="006E0C71" w:rsidRPr="00D32BF3" w14:paraId="5CD75C04" w14:textId="77777777" w:rsidTr="00D32BF3">
      <w:trPr>
        <w:trHeight w:hRule="exact" w:val="624"/>
      </w:trPr>
      <w:tc>
        <w:tcPr>
          <w:tcW w:w="397" w:type="dxa"/>
          <w:shd w:val="clear" w:color="auto" w:fill="auto"/>
          <w:vAlign w:val="center"/>
        </w:tcPr>
        <w:p w14:paraId="3261F97F" w14:textId="77777777" w:rsidR="006E0C71" w:rsidRDefault="006E0C71" w:rsidP="00D32BF3">
          <w:pPr>
            <w:pStyle w:val="Footer"/>
            <w:jc w:val="center"/>
          </w:pPr>
          <w:r w:rsidRPr="00D32BF3">
            <w:rPr>
              <w:rStyle w:val="PageNumber"/>
            </w:rPr>
            <w:fldChar w:fldCharType="begin"/>
          </w:r>
          <w:r w:rsidRPr="00D32BF3">
            <w:rPr>
              <w:rStyle w:val="PageNumber"/>
            </w:rPr>
            <w:instrText xml:space="preserve"> PAGE   \* MERGEFORMAT </w:instrText>
          </w:r>
          <w:r w:rsidRPr="00D32BF3">
            <w:rPr>
              <w:rStyle w:val="PageNumber"/>
            </w:rPr>
            <w:fldChar w:fldCharType="separate"/>
          </w:r>
          <w:r w:rsidRPr="00D32BF3">
            <w:rPr>
              <w:rStyle w:val="PageNumber"/>
              <w:noProof/>
            </w:rPr>
            <w:t>2</w:t>
          </w:r>
          <w:r w:rsidRPr="00D32BF3">
            <w:rPr>
              <w:rStyle w:val="PageNumber"/>
            </w:rPr>
            <w:fldChar w:fldCharType="end"/>
          </w:r>
        </w:p>
      </w:tc>
      <w:tc>
        <w:tcPr>
          <w:tcW w:w="10261" w:type="dxa"/>
          <w:shd w:val="clear" w:color="auto" w:fill="auto"/>
          <w:vAlign w:val="center"/>
        </w:tcPr>
        <w:p w14:paraId="73AD5D0B" w14:textId="77777777" w:rsidR="006E0C71" w:rsidRPr="00D32BF3" w:rsidRDefault="00B05D18" w:rsidP="006E0C71">
          <w:pPr>
            <w:pStyle w:val="B17ColouredFooterLEFT"/>
          </w:pPr>
          <w:r w:rsidRPr="00D32BF3">
            <w:t xml:space="preserve">Schroder ISF* EURO Credit </w:t>
          </w:r>
          <w:proofErr w:type="gramStart"/>
          <w:r w:rsidRPr="00D32BF3">
            <w:t>Conviction</w:t>
          </w:r>
          <w:r w:rsidR="006E0C71" w:rsidRPr="00D32BF3">
            <w:t xml:space="preserve">  </w:t>
          </w:r>
          <w:r w:rsidR="00D57B82" w:rsidRPr="00D32BF3">
            <w:rPr>
              <w:b w:val="0"/>
              <w:color w:val="002A5E"/>
            </w:rPr>
            <w:t>Fund</w:t>
          </w:r>
          <w:proofErr w:type="gramEnd"/>
          <w:r w:rsidR="00D57B82" w:rsidRPr="00D32BF3">
            <w:rPr>
              <w:b w:val="0"/>
              <w:color w:val="002A5E"/>
            </w:rPr>
            <w:t xml:space="preserve"> Manager: Patrick Vogel | Fund update: September 2022</w:t>
          </w:r>
        </w:p>
      </w:tc>
    </w:tr>
  </w:tbl>
  <w:p w14:paraId="4CF1EA62" w14:textId="58C65F84" w:rsidR="00871E8C" w:rsidRPr="00326778" w:rsidRDefault="006A3B92" w:rsidP="00326778">
    <w:pPr>
      <w:pStyle w:val="Footer"/>
    </w:pPr>
    <w:r>
      <w:rPr>
        <w:noProof/>
      </w:rPr>
      <mc:AlternateContent>
        <mc:Choice Requires="wps">
          <w:drawing>
            <wp:anchor distT="0" distB="0" distL="114300" distR="114300" simplePos="0" relativeHeight="251657728" behindDoc="0" locked="1" layoutInCell="1" allowOverlap="1" wp14:anchorId="511B35D0" wp14:editId="3CA6743F">
              <wp:simplePos x="0" y="0"/>
              <wp:positionH relativeFrom="page">
                <wp:posOffset>403225</wp:posOffset>
              </wp:positionH>
              <wp:positionV relativeFrom="page">
                <wp:posOffset>10074910</wp:posOffset>
              </wp:positionV>
              <wp:extent cx="233680" cy="23368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3680" cy="23368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rgbClr val="0074B7">
                          <a:lumMod val="60000"/>
                          <a:lumOff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CB33D" id="Freeform: Shape 3" o:spid="_x0000_s1026" style="position:absolute;margin-left:31.75pt;margin-top:793.3pt;width:18.4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3bb7ff" stroked="f">
              <v:path arrowok="t" o:connecttype="custom" o:connectlocs="99505,232639;72548,225183;48799,211829;28777,193621;13348,171076;3640,145237;0,116970;2340,93992;10921,67633;25310,44395;44378,25319;67608,10839;93871,2168;110859,27920;90144,31909;71335,40493;55126,53066;42038,68847;33024,87402;28430,108126;28430,125554;33024,146364;42038,164920;55126,180788;71335,193360;90144,201858;110859,205933;127241,28267;147697,33209;165986,42747;181587,55927;193809,72402;202130,91391;205683,112548;204817,129976;199356,150353;189302,168302;175693,183562;158965,195355;139723,203072;122994,233680;145357,230385;171013,220500;193549,205153;211838,185036;225012,161192;232467,134225;233507,110987;228739,83154;217732,57835;201436,36158;180547,18816;155931,6763;128628,520" o:connectangles="0,0,0,0,0,0,0,0,0,0,0,0,0,0,0,0,0,0,0,0,0,0,0,0,0,0,0,0,0,0,0,0,0,0,0,0,0,0,0,0,0,0,0,0,0,0,0,0,0,0,0,0,0,0"/>
              <o:lock v:ext="edi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7595" w14:textId="77777777" w:rsidR="00871E8C" w:rsidRDefault="00871E8C" w:rsidP="008263AD">
    <w:pPr>
      <w:pStyle w:val="Footer"/>
    </w:pPr>
  </w:p>
  <w:tbl>
    <w:tblPr>
      <w:tblW w:w="5000" w:type="pct"/>
      <w:tblBorders>
        <w:top w:val="single" w:sz="4" w:space="0" w:color="002A5E"/>
      </w:tblBorders>
      <w:tblLayout w:type="fixed"/>
      <w:tblCellMar>
        <w:left w:w="0" w:type="dxa"/>
        <w:right w:w="0" w:type="dxa"/>
      </w:tblCellMar>
      <w:tblLook w:val="04A0" w:firstRow="1" w:lastRow="0" w:firstColumn="1" w:lastColumn="0" w:noHBand="0" w:noVBand="1"/>
    </w:tblPr>
    <w:tblGrid>
      <w:gridCol w:w="9555"/>
      <w:gridCol w:w="367"/>
    </w:tblGrid>
    <w:tr w:rsidR="00EA5451" w:rsidRPr="00D32BF3" w14:paraId="61E0738B" w14:textId="77777777" w:rsidTr="00D32BF3">
      <w:trPr>
        <w:trHeight w:hRule="exact" w:val="624"/>
      </w:trPr>
      <w:tc>
        <w:tcPr>
          <w:tcW w:w="10265" w:type="dxa"/>
          <w:shd w:val="clear" w:color="auto" w:fill="auto"/>
          <w:vAlign w:val="center"/>
        </w:tcPr>
        <w:p w14:paraId="44488E26" w14:textId="77777777" w:rsidR="00662112" w:rsidRPr="00D32BF3" w:rsidRDefault="00B05D18" w:rsidP="00D32BF3">
          <w:pPr>
            <w:pStyle w:val="B17ColouredFooterRIGHT"/>
            <w:jc w:val="left"/>
          </w:pPr>
          <w:r w:rsidRPr="00D32BF3">
            <w:t>Schroder ISF* EURO Credit Conviction</w:t>
          </w:r>
        </w:p>
        <w:p w14:paraId="2E822A69" w14:textId="5582348B" w:rsidR="006E0C71" w:rsidRPr="00D32BF3" w:rsidRDefault="00D57B82" w:rsidP="00D32BF3">
          <w:pPr>
            <w:pStyle w:val="B17ColouredFooterRIGHT"/>
            <w:jc w:val="left"/>
          </w:pPr>
          <w:r w:rsidRPr="00D32BF3">
            <w:rPr>
              <w:b w:val="0"/>
            </w:rPr>
            <w:t xml:space="preserve">Fund Manager: Patrick Vogel | Fund update: </w:t>
          </w:r>
          <w:r w:rsidR="009053B5">
            <w:rPr>
              <w:b w:val="0"/>
            </w:rPr>
            <w:t>March</w:t>
          </w:r>
          <w:r w:rsidRPr="00D32BF3">
            <w:rPr>
              <w:b w:val="0"/>
            </w:rPr>
            <w:t xml:space="preserve"> 202</w:t>
          </w:r>
          <w:r w:rsidR="009053B5">
            <w:rPr>
              <w:b w:val="0"/>
            </w:rPr>
            <w:t>4</w:t>
          </w:r>
        </w:p>
      </w:tc>
      <w:tc>
        <w:tcPr>
          <w:tcW w:w="393" w:type="dxa"/>
          <w:shd w:val="clear" w:color="auto" w:fill="auto"/>
          <w:vAlign w:val="center"/>
        </w:tcPr>
        <w:p w14:paraId="52A1D97B" w14:textId="45355DF1" w:rsidR="00662112" w:rsidRPr="00D32BF3" w:rsidRDefault="006A3B92" w:rsidP="00D32BF3">
          <w:pPr>
            <w:pStyle w:val="Footer"/>
            <w:jc w:val="center"/>
            <w:rPr>
              <w:rStyle w:val="PageNumber"/>
            </w:rPr>
          </w:pPr>
          <w:r>
            <w:rPr>
              <w:noProof/>
            </w:rPr>
            <mc:AlternateContent>
              <mc:Choice Requires="wps">
                <w:drawing>
                  <wp:anchor distT="0" distB="0" distL="114300" distR="114300" simplePos="0" relativeHeight="251658752" behindDoc="0" locked="1" layoutInCell="1" allowOverlap="1" wp14:anchorId="1BEC3B51" wp14:editId="5CEE8371">
                    <wp:simplePos x="0" y="0"/>
                    <wp:positionH relativeFrom="column">
                      <wp:posOffset>-380365</wp:posOffset>
                    </wp:positionH>
                    <wp:positionV relativeFrom="page">
                      <wp:posOffset>-1905</wp:posOffset>
                    </wp:positionV>
                    <wp:extent cx="608330" cy="107950"/>
                    <wp:effectExtent l="0" t="0" r="0" b="0"/>
                    <wp:wrapNone/>
                    <wp:docPr id="2" name="Freeform: 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08330" cy="10795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FD248D" id="Freeform: Shape 2" o:spid="_x0000_s1026" style="position:absolute;margin-left:-29.95pt;margin-top:-.15pt;width:47.9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269419,52646;244829,59559;228257,106355;240018,37756;262469,35629;524404,45201;508902,37756;525473,106355;541510,51050;551667,37224;524404,45201;168387,44137;151815,3722;168387,106355;184958,51582;200995,106355;217566,72321;116534,92529;116000,51582;144866,49987;80184,71789;145400,94656;116534,92529;36350,44669;36350,20207;69493,20739;2138,34033;37954,63281;37419,91465;0,85616;72700,77639;586413,64876;581602,49455;606726,48391;555408,56900;592828,86679;563427,84020;583206,107950;586413,64876;304700,107950;287594,71789;304700,35629;311649,35629;328755,71789;311649,107950;311649,35629;427114,106355;408404,99973;352810,71789;406266,42010;422837,0;406266,56900;369381,71789;406266,85616;500349,71789;448496,76575;486450,85084;468275,107950;467206,35629;483243,64345;449031,64345" o:connectangles="0,0,0,0,0,0,0,0,0,0,0,0,0,0,0,0,0,0,0,0,0,0,0,0,0,0,0,0,0,0,0,0,0,0,0,0,0,0,0,0,0,0,0,0,0,0,0,0,0,0,0,0,0,0,0,0,0,0,0,0,0"/>
                    <o:lock v:ext="edit" aspectratio="t" verticies="t"/>
                    <w10:wrap anchory="page"/>
                    <w10:anchorlock/>
                  </v:shape>
                </w:pict>
              </mc:Fallback>
            </mc:AlternateContent>
          </w:r>
        </w:p>
        <w:p w14:paraId="26212DA2" w14:textId="77777777" w:rsidR="006E0C71" w:rsidRDefault="006E0C71" w:rsidP="00D32BF3">
          <w:pPr>
            <w:pStyle w:val="Footer"/>
            <w:jc w:val="right"/>
          </w:pPr>
          <w:r w:rsidRPr="00D32BF3">
            <w:rPr>
              <w:rStyle w:val="PageNumber"/>
            </w:rPr>
            <w:fldChar w:fldCharType="begin"/>
          </w:r>
          <w:r w:rsidRPr="00D32BF3">
            <w:rPr>
              <w:rStyle w:val="PageNumber"/>
            </w:rPr>
            <w:instrText xml:space="preserve"> PAGE   \* MERGEFORMAT </w:instrText>
          </w:r>
          <w:r w:rsidRPr="00D32BF3">
            <w:rPr>
              <w:rStyle w:val="PageNumber"/>
            </w:rPr>
            <w:fldChar w:fldCharType="separate"/>
          </w:r>
          <w:r w:rsidR="00A756D1" w:rsidRPr="00D32BF3">
            <w:rPr>
              <w:rStyle w:val="PageNumber"/>
              <w:noProof/>
            </w:rPr>
            <w:t>2</w:t>
          </w:r>
          <w:r w:rsidRPr="00D32BF3">
            <w:rPr>
              <w:rStyle w:val="PageNumber"/>
            </w:rPr>
            <w:fldChar w:fldCharType="end"/>
          </w:r>
        </w:p>
      </w:tc>
    </w:tr>
  </w:tbl>
  <w:p w14:paraId="7ABD9793" w14:textId="77777777" w:rsidR="00871E8C" w:rsidRPr="008263AD" w:rsidRDefault="00871E8C" w:rsidP="000C5A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56E" w14:textId="77777777" w:rsidR="00871E8C" w:rsidRDefault="00871E8C" w:rsidP="00326778">
    <w:pPr>
      <w:pStyle w:val="Footer"/>
    </w:pPr>
  </w:p>
  <w:tbl>
    <w:tblPr>
      <w:tblW w:w="5215" w:type="pct"/>
      <w:tblInd w:w="-284" w:type="dxa"/>
      <w:tblBorders>
        <w:top w:val="single" w:sz="4" w:space="0" w:color="002A5E"/>
      </w:tblBorders>
      <w:tblLayout w:type="fixed"/>
      <w:tblCellMar>
        <w:left w:w="0" w:type="dxa"/>
        <w:right w:w="0" w:type="dxa"/>
      </w:tblCellMar>
      <w:tblLook w:val="04A0" w:firstRow="1" w:lastRow="0" w:firstColumn="1" w:lastColumn="0" w:noHBand="0" w:noVBand="1"/>
    </w:tblPr>
    <w:tblGrid>
      <w:gridCol w:w="5529"/>
      <w:gridCol w:w="4310"/>
      <w:gridCol w:w="510"/>
    </w:tblGrid>
    <w:tr w:rsidR="00EA5451" w:rsidRPr="00D32BF3" w14:paraId="461C26EB" w14:textId="77777777" w:rsidTr="00D32BF3">
      <w:trPr>
        <w:trHeight w:hRule="exact" w:val="624"/>
      </w:trPr>
      <w:tc>
        <w:tcPr>
          <w:tcW w:w="5529" w:type="dxa"/>
          <w:shd w:val="clear" w:color="auto" w:fill="auto"/>
          <w:vAlign w:val="center"/>
        </w:tcPr>
        <w:p w14:paraId="793A7E11" w14:textId="77777777" w:rsidR="00871E8C" w:rsidRPr="00D32BF3" w:rsidRDefault="00081834" w:rsidP="00D32BF3">
          <w:pPr>
            <w:pStyle w:val="B17BlueFooterText"/>
            <w:spacing w:line="240" w:lineRule="auto"/>
          </w:pPr>
          <w:r w:rsidRPr="00D32BF3">
            <w:t xml:space="preserve">*Schroder International Selection Fund is referred to as Schroder ISF throughout </w:t>
          </w:r>
          <w:r w:rsidR="00A756D1" w:rsidRPr="00D32BF3">
            <w:t xml:space="preserve">this document. </w:t>
          </w:r>
        </w:p>
        <w:p w14:paraId="54033B99" w14:textId="77777777" w:rsidR="00F11DFB" w:rsidRPr="00D32BF3" w:rsidRDefault="00F11DFB" w:rsidP="00081834">
          <w:pPr>
            <w:pStyle w:val="B17BlueFooterText"/>
          </w:pPr>
        </w:p>
      </w:tc>
      <w:tc>
        <w:tcPr>
          <w:tcW w:w="4310" w:type="dxa"/>
          <w:shd w:val="clear" w:color="auto" w:fill="auto"/>
          <w:vAlign w:val="center"/>
        </w:tcPr>
        <w:p w14:paraId="1B124C4D" w14:textId="77777777" w:rsidR="00871E8C" w:rsidRPr="00D32BF3" w:rsidRDefault="00871E8C" w:rsidP="00662112">
          <w:pPr>
            <w:pStyle w:val="B17ColouredFooterRIGHT"/>
          </w:pPr>
        </w:p>
      </w:tc>
      <w:tc>
        <w:tcPr>
          <w:tcW w:w="510" w:type="dxa"/>
          <w:shd w:val="clear" w:color="auto" w:fill="auto"/>
          <w:vAlign w:val="center"/>
        </w:tcPr>
        <w:p w14:paraId="2805F925" w14:textId="77777777" w:rsidR="00F11DFB" w:rsidRPr="00D32BF3" w:rsidRDefault="00F11DFB" w:rsidP="00D32BF3">
          <w:pPr>
            <w:pStyle w:val="Footer"/>
            <w:jc w:val="center"/>
            <w:rPr>
              <w:rStyle w:val="PageNumber"/>
            </w:rPr>
          </w:pPr>
        </w:p>
        <w:p w14:paraId="0833CBC0" w14:textId="77777777" w:rsidR="00871E8C" w:rsidRDefault="00871E8C" w:rsidP="00D32BF3">
          <w:pPr>
            <w:pStyle w:val="Footer"/>
            <w:jc w:val="center"/>
          </w:pPr>
          <w:r w:rsidRPr="00D32BF3">
            <w:rPr>
              <w:rStyle w:val="PageNumber"/>
            </w:rPr>
            <w:fldChar w:fldCharType="begin"/>
          </w:r>
          <w:r w:rsidRPr="00D32BF3">
            <w:rPr>
              <w:rStyle w:val="PageNumber"/>
            </w:rPr>
            <w:instrText xml:space="preserve"> PAGE   \* MERGEFORMAT </w:instrText>
          </w:r>
          <w:r w:rsidRPr="00D32BF3">
            <w:rPr>
              <w:rStyle w:val="PageNumber"/>
            </w:rPr>
            <w:fldChar w:fldCharType="separate"/>
          </w:r>
          <w:r w:rsidR="00A756D1" w:rsidRPr="00D32BF3">
            <w:rPr>
              <w:rStyle w:val="PageNumber"/>
              <w:noProof/>
            </w:rPr>
            <w:t>1</w:t>
          </w:r>
          <w:r w:rsidRPr="00D32BF3">
            <w:rPr>
              <w:rStyle w:val="PageNumber"/>
            </w:rPr>
            <w:fldChar w:fldCharType="end"/>
          </w:r>
        </w:p>
      </w:tc>
    </w:tr>
  </w:tbl>
  <w:p w14:paraId="410DD89E" w14:textId="77777777" w:rsidR="00871E8C" w:rsidRPr="00326778" w:rsidRDefault="00871E8C" w:rsidP="0032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3DD1" w14:textId="77777777" w:rsidR="00A74599" w:rsidRDefault="00A74599" w:rsidP="00EC4E49">
      <w:pPr>
        <w:spacing w:after="0"/>
      </w:pPr>
      <w:r>
        <w:separator/>
      </w:r>
    </w:p>
  </w:footnote>
  <w:footnote w:type="continuationSeparator" w:id="0">
    <w:p w14:paraId="7E324A15" w14:textId="77777777" w:rsidR="00A74599" w:rsidRDefault="00A74599" w:rsidP="00EC4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3382" w14:textId="243EBE15" w:rsidR="00871E8C" w:rsidRPr="00091CA4" w:rsidRDefault="003C4151" w:rsidP="00527AB7">
    <w:pPr>
      <w:pStyle w:val="Header"/>
      <w:jc w:val="right"/>
      <w:rPr>
        <w:b/>
      </w:rPr>
    </w:pPr>
    <w:r w:rsidRPr="00D32BF3">
      <w:rPr>
        <w:b/>
        <w:color w:val="FFFFFF"/>
      </w:rPr>
      <w:t xml:space="preserve">Marketing material </w:t>
    </w:r>
    <w:r w:rsidR="00AE2132" w:rsidRPr="00D32BF3">
      <w:rPr>
        <w:b/>
        <w:color w:val="FFFFFF"/>
      </w:rPr>
      <w:br/>
    </w:r>
    <w:r w:rsidRPr="00D32BF3">
      <w:rPr>
        <w:b/>
        <w:color w:val="FFFFFF"/>
      </w:rPr>
      <w:t>f</w:t>
    </w:r>
    <w:r w:rsidR="00871E8C" w:rsidRPr="00D32BF3">
      <w:rPr>
        <w:b/>
        <w:color w:val="FFFFFF"/>
      </w:rPr>
      <w:t xml:space="preserve">or professional </w:t>
    </w:r>
    <w:r w:rsidR="00544885" w:rsidRPr="00D32BF3">
      <w:rPr>
        <w:b/>
        <w:color w:val="FFFFFF"/>
      </w:rPr>
      <w:t>clients</w:t>
    </w:r>
    <w:r w:rsidR="00871E8C" w:rsidRPr="00D32BF3">
      <w:rPr>
        <w:b/>
        <w:color w:val="FFFFFF"/>
      </w:rPr>
      <w:t xml:space="preserve"> only</w:t>
    </w:r>
    <w:r w:rsidR="00871E8C" w:rsidRPr="00091CA4">
      <w:rPr>
        <w:b/>
        <w:noProof/>
        <w:lang w:eastAsia="en-GB"/>
      </w:rPr>
      <w:t xml:space="preserve"> </w:t>
    </w:r>
    <w:r w:rsidR="006A3B92">
      <w:rPr>
        <w:noProof/>
      </w:rPr>
      <w:drawing>
        <wp:anchor distT="0" distB="0" distL="114300" distR="114300" simplePos="0" relativeHeight="251656704" behindDoc="1" locked="1" layoutInCell="1" allowOverlap="1" wp14:anchorId="50AC423B" wp14:editId="28857DFB">
          <wp:simplePos x="0" y="0"/>
          <wp:positionH relativeFrom="page">
            <wp:posOffset>-10160</wp:posOffset>
          </wp:positionH>
          <wp:positionV relativeFrom="page">
            <wp:align>top</wp:align>
          </wp:positionV>
          <wp:extent cx="7555865" cy="2339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C80B0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2"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3" w15:restartNumberingAfterBreak="0">
    <w:nsid w:val="FFFFFF89"/>
    <w:multiLevelType w:val="singleLevel"/>
    <w:tmpl w:val="76287870"/>
    <w:lvl w:ilvl="0">
      <w:start w:val="31"/>
      <w:numFmt w:val="bullet"/>
      <w:pStyle w:val="ListBullet"/>
      <w:lvlText w:val="–"/>
      <w:lvlJc w:val="left"/>
      <w:pPr>
        <w:ind w:left="360" w:hanging="360"/>
      </w:pPr>
      <w:rPr>
        <w:rFonts w:ascii="Arial" w:eastAsia="Times New Roman" w:hAnsi="Arial" w:hint="default"/>
      </w:rPr>
    </w:lvl>
  </w:abstractNum>
  <w:abstractNum w:abstractNumId="4" w15:restartNumberingAfterBreak="0">
    <w:nsid w:val="3B880BC0"/>
    <w:multiLevelType w:val="hybridMultilevel"/>
    <w:tmpl w:val="FC782DD8"/>
    <w:lvl w:ilvl="0" w:tplc="8C0C217C">
      <w:start w:val="1"/>
      <w:numFmt w:val="lowerLetter"/>
      <w:pStyle w:val="Letterlistun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2480C"/>
    <w:multiLevelType w:val="singleLevel"/>
    <w:tmpl w:val="24AE77B4"/>
    <w:lvl w:ilvl="0">
      <w:start w:val="1"/>
      <w:numFmt w:val="bullet"/>
      <w:pStyle w:val="B17BulletedtextRegular"/>
      <w:lvlText w:val="–"/>
      <w:lvlJc w:val="left"/>
      <w:pPr>
        <w:ind w:left="425" w:hanging="425"/>
      </w:pPr>
      <w:rPr>
        <w:rFonts w:ascii="Arial" w:hAnsi="Arial" w:hint="default"/>
      </w:rPr>
    </w:lvl>
  </w:abstractNum>
  <w:abstractNum w:abstractNumId="6" w15:restartNumberingAfterBreak="0">
    <w:nsid w:val="6E132B16"/>
    <w:multiLevelType w:val="hybridMultilevel"/>
    <w:tmpl w:val="BAF4AB80"/>
    <w:lvl w:ilvl="0" w:tplc="E1FC3F4C">
      <w:start w:val="1"/>
      <w:numFmt w:val="decimal"/>
      <w:pStyle w:val="NumberingBold"/>
      <w:lvlText w:val="%1."/>
      <w:lvlJc w:val="left"/>
      <w:pPr>
        <w:ind w:left="284" w:hanging="284"/>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7" w15:restartNumberingAfterBreak="0">
    <w:nsid w:val="715B7BBD"/>
    <w:multiLevelType w:val="hybridMultilevel"/>
    <w:tmpl w:val="6160228A"/>
    <w:lvl w:ilvl="0" w:tplc="74601DC4">
      <w:start w:val="1"/>
      <w:numFmt w:val="decimal"/>
      <w:pStyle w:val="NumberingNor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000F4"/>
    <w:multiLevelType w:val="hybridMultilevel"/>
    <w:tmpl w:val="27F0A5B2"/>
    <w:lvl w:ilvl="0" w:tplc="23F61FC8">
      <w:start w:val="1"/>
      <w:numFmt w:val="lowerLetter"/>
      <w:pStyle w:val="Letterlist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245015">
    <w:abstractNumId w:val="3"/>
  </w:num>
  <w:num w:numId="2" w16cid:durableId="985821549">
    <w:abstractNumId w:val="2"/>
  </w:num>
  <w:num w:numId="3" w16cid:durableId="672728858">
    <w:abstractNumId w:val="1"/>
  </w:num>
  <w:num w:numId="4" w16cid:durableId="713314565">
    <w:abstractNumId w:val="6"/>
  </w:num>
  <w:num w:numId="5" w16cid:durableId="1771195024">
    <w:abstractNumId w:val="7"/>
  </w:num>
  <w:num w:numId="6" w16cid:durableId="924730813">
    <w:abstractNumId w:val="8"/>
  </w:num>
  <w:num w:numId="7" w16cid:durableId="331034058">
    <w:abstractNumId w:val="4"/>
  </w:num>
  <w:num w:numId="8" w16cid:durableId="1578829710">
    <w:abstractNumId w:val="5"/>
  </w:num>
  <w:num w:numId="9" w16cid:durableId="144392437">
    <w:abstractNumId w:val="5"/>
  </w:num>
  <w:num w:numId="10" w16cid:durableId="1142233574">
    <w:abstractNumId w:val="5"/>
  </w:num>
  <w:num w:numId="11" w16cid:durableId="1302416453">
    <w:abstractNumId w:val="5"/>
  </w:num>
  <w:num w:numId="12" w16cid:durableId="1093891390">
    <w:abstractNumId w:val="0"/>
  </w:num>
  <w:num w:numId="13" w16cid:durableId="241063445">
    <w:abstractNumId w:val="5"/>
  </w:num>
  <w:num w:numId="14" w16cid:durableId="849492788">
    <w:abstractNumId w:val="5"/>
  </w:num>
  <w:num w:numId="15" w16cid:durableId="160513519">
    <w:abstractNumId w:val="5"/>
  </w:num>
  <w:num w:numId="16" w16cid:durableId="861750640">
    <w:abstractNumId w:val="5"/>
  </w:num>
  <w:num w:numId="17" w16cid:durableId="469249787">
    <w:abstractNumId w:val="5"/>
  </w:num>
  <w:num w:numId="18" w16cid:durableId="415908614">
    <w:abstractNumId w:val="5"/>
  </w:num>
  <w:num w:numId="19" w16cid:durableId="187837706">
    <w:abstractNumId w:val="5"/>
  </w:num>
  <w:num w:numId="20" w16cid:durableId="430442540">
    <w:abstractNumId w:val="5"/>
  </w:num>
  <w:num w:numId="21" w16cid:durableId="710151987">
    <w:abstractNumId w:val="5"/>
  </w:num>
  <w:num w:numId="22" w16cid:durableId="1474639596">
    <w:abstractNumId w:val="5"/>
  </w:num>
  <w:num w:numId="23" w16cid:durableId="806626858">
    <w:abstractNumId w:val="5"/>
  </w:num>
  <w:num w:numId="24" w16cid:durableId="15832976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3625C"/>
    <w:rsid w:val="00002E99"/>
    <w:rsid w:val="00004DB9"/>
    <w:rsid w:val="000063A5"/>
    <w:rsid w:val="000066AB"/>
    <w:rsid w:val="00006D2C"/>
    <w:rsid w:val="00011C69"/>
    <w:rsid w:val="00012CF7"/>
    <w:rsid w:val="0001450B"/>
    <w:rsid w:val="00014B5A"/>
    <w:rsid w:val="00016F72"/>
    <w:rsid w:val="0002398E"/>
    <w:rsid w:val="00023B6C"/>
    <w:rsid w:val="00025407"/>
    <w:rsid w:val="00025A93"/>
    <w:rsid w:val="0002760D"/>
    <w:rsid w:val="00027D2D"/>
    <w:rsid w:val="00027EFC"/>
    <w:rsid w:val="000325C0"/>
    <w:rsid w:val="00032629"/>
    <w:rsid w:val="00032799"/>
    <w:rsid w:val="00032AD7"/>
    <w:rsid w:val="0003399A"/>
    <w:rsid w:val="000348CF"/>
    <w:rsid w:val="00034932"/>
    <w:rsid w:val="00035446"/>
    <w:rsid w:val="00035E23"/>
    <w:rsid w:val="00036C38"/>
    <w:rsid w:val="00037216"/>
    <w:rsid w:val="00037281"/>
    <w:rsid w:val="00042535"/>
    <w:rsid w:val="00044531"/>
    <w:rsid w:val="00045B42"/>
    <w:rsid w:val="00047D3C"/>
    <w:rsid w:val="00051283"/>
    <w:rsid w:val="00051DEF"/>
    <w:rsid w:val="00051E9F"/>
    <w:rsid w:val="00052E16"/>
    <w:rsid w:val="00053D10"/>
    <w:rsid w:val="0005429E"/>
    <w:rsid w:val="00054508"/>
    <w:rsid w:val="00054FF8"/>
    <w:rsid w:val="00055083"/>
    <w:rsid w:val="00056430"/>
    <w:rsid w:val="00056740"/>
    <w:rsid w:val="00060418"/>
    <w:rsid w:val="00060446"/>
    <w:rsid w:val="000610E5"/>
    <w:rsid w:val="000613AD"/>
    <w:rsid w:val="00062ACE"/>
    <w:rsid w:val="00062E67"/>
    <w:rsid w:val="00062ECD"/>
    <w:rsid w:val="0006509D"/>
    <w:rsid w:val="0006620A"/>
    <w:rsid w:val="0006657D"/>
    <w:rsid w:val="00067F8C"/>
    <w:rsid w:val="00070A26"/>
    <w:rsid w:val="0007121F"/>
    <w:rsid w:val="00071B3A"/>
    <w:rsid w:val="00071EF9"/>
    <w:rsid w:val="00071F4E"/>
    <w:rsid w:val="00072C47"/>
    <w:rsid w:val="00072C7F"/>
    <w:rsid w:val="0007530A"/>
    <w:rsid w:val="0007569B"/>
    <w:rsid w:val="0007608B"/>
    <w:rsid w:val="00077A45"/>
    <w:rsid w:val="00080E56"/>
    <w:rsid w:val="00080F09"/>
    <w:rsid w:val="00081834"/>
    <w:rsid w:val="000818A6"/>
    <w:rsid w:val="00081996"/>
    <w:rsid w:val="00082FA4"/>
    <w:rsid w:val="0008599B"/>
    <w:rsid w:val="00085B20"/>
    <w:rsid w:val="00086DE3"/>
    <w:rsid w:val="0008700E"/>
    <w:rsid w:val="0009023E"/>
    <w:rsid w:val="00090952"/>
    <w:rsid w:val="00090972"/>
    <w:rsid w:val="00091CA4"/>
    <w:rsid w:val="00092201"/>
    <w:rsid w:val="000923A2"/>
    <w:rsid w:val="00092604"/>
    <w:rsid w:val="000930A7"/>
    <w:rsid w:val="000931F5"/>
    <w:rsid w:val="00093C8E"/>
    <w:rsid w:val="0009497F"/>
    <w:rsid w:val="000961D9"/>
    <w:rsid w:val="00096866"/>
    <w:rsid w:val="00096AC8"/>
    <w:rsid w:val="0009737D"/>
    <w:rsid w:val="000A13D9"/>
    <w:rsid w:val="000A15CA"/>
    <w:rsid w:val="000A249B"/>
    <w:rsid w:val="000A3A5E"/>
    <w:rsid w:val="000A3CA6"/>
    <w:rsid w:val="000A3F58"/>
    <w:rsid w:val="000A495F"/>
    <w:rsid w:val="000A4FDC"/>
    <w:rsid w:val="000A52A4"/>
    <w:rsid w:val="000A6014"/>
    <w:rsid w:val="000A7350"/>
    <w:rsid w:val="000A7F9D"/>
    <w:rsid w:val="000B1056"/>
    <w:rsid w:val="000B10FE"/>
    <w:rsid w:val="000B12BA"/>
    <w:rsid w:val="000B164E"/>
    <w:rsid w:val="000B1F84"/>
    <w:rsid w:val="000B3BB5"/>
    <w:rsid w:val="000B3ED0"/>
    <w:rsid w:val="000B58DD"/>
    <w:rsid w:val="000B70ED"/>
    <w:rsid w:val="000B7170"/>
    <w:rsid w:val="000C0FDB"/>
    <w:rsid w:val="000C23E9"/>
    <w:rsid w:val="000C45B4"/>
    <w:rsid w:val="000C5A9F"/>
    <w:rsid w:val="000D1DF9"/>
    <w:rsid w:val="000D223E"/>
    <w:rsid w:val="000D259D"/>
    <w:rsid w:val="000D418A"/>
    <w:rsid w:val="000D483A"/>
    <w:rsid w:val="000D539E"/>
    <w:rsid w:val="000D7157"/>
    <w:rsid w:val="000D71F4"/>
    <w:rsid w:val="000E02E4"/>
    <w:rsid w:val="000E195F"/>
    <w:rsid w:val="000E2F46"/>
    <w:rsid w:val="000E37C2"/>
    <w:rsid w:val="000E4F92"/>
    <w:rsid w:val="000E5379"/>
    <w:rsid w:val="000E7537"/>
    <w:rsid w:val="000E7CE2"/>
    <w:rsid w:val="000F0152"/>
    <w:rsid w:val="000F0F77"/>
    <w:rsid w:val="000F120D"/>
    <w:rsid w:val="000F1F49"/>
    <w:rsid w:val="000F211F"/>
    <w:rsid w:val="000F3C52"/>
    <w:rsid w:val="000F5A73"/>
    <w:rsid w:val="000F6CF0"/>
    <w:rsid w:val="0010068B"/>
    <w:rsid w:val="00101333"/>
    <w:rsid w:val="00101343"/>
    <w:rsid w:val="00101D10"/>
    <w:rsid w:val="001025EB"/>
    <w:rsid w:val="00103196"/>
    <w:rsid w:val="00106800"/>
    <w:rsid w:val="00107F09"/>
    <w:rsid w:val="001109C8"/>
    <w:rsid w:val="00113EA1"/>
    <w:rsid w:val="00116B8E"/>
    <w:rsid w:val="001176C7"/>
    <w:rsid w:val="00120182"/>
    <w:rsid w:val="00120402"/>
    <w:rsid w:val="001209E1"/>
    <w:rsid w:val="00121393"/>
    <w:rsid w:val="001229DB"/>
    <w:rsid w:val="001238AC"/>
    <w:rsid w:val="00125D16"/>
    <w:rsid w:val="00127EDC"/>
    <w:rsid w:val="00132C35"/>
    <w:rsid w:val="001330A5"/>
    <w:rsid w:val="0013369B"/>
    <w:rsid w:val="0013477B"/>
    <w:rsid w:val="00135417"/>
    <w:rsid w:val="00135482"/>
    <w:rsid w:val="001366BC"/>
    <w:rsid w:val="0014352D"/>
    <w:rsid w:val="00146711"/>
    <w:rsid w:val="00151016"/>
    <w:rsid w:val="0015201C"/>
    <w:rsid w:val="0015213D"/>
    <w:rsid w:val="001522B7"/>
    <w:rsid w:val="00153DA2"/>
    <w:rsid w:val="001546E8"/>
    <w:rsid w:val="00154981"/>
    <w:rsid w:val="00154B3A"/>
    <w:rsid w:val="00155BC7"/>
    <w:rsid w:val="00156747"/>
    <w:rsid w:val="001618AA"/>
    <w:rsid w:val="0016257D"/>
    <w:rsid w:val="001631B9"/>
    <w:rsid w:val="00163492"/>
    <w:rsid w:val="00163824"/>
    <w:rsid w:val="00164E97"/>
    <w:rsid w:val="0016513B"/>
    <w:rsid w:val="00166DE4"/>
    <w:rsid w:val="00166FF8"/>
    <w:rsid w:val="001722AB"/>
    <w:rsid w:val="00174EB3"/>
    <w:rsid w:val="00175939"/>
    <w:rsid w:val="00176686"/>
    <w:rsid w:val="001777BF"/>
    <w:rsid w:val="00182F34"/>
    <w:rsid w:val="00183483"/>
    <w:rsid w:val="001876B9"/>
    <w:rsid w:val="0019135C"/>
    <w:rsid w:val="00191B6F"/>
    <w:rsid w:val="001923A3"/>
    <w:rsid w:val="001934FF"/>
    <w:rsid w:val="00194866"/>
    <w:rsid w:val="0019660A"/>
    <w:rsid w:val="00197090"/>
    <w:rsid w:val="001A151A"/>
    <w:rsid w:val="001A2352"/>
    <w:rsid w:val="001A284B"/>
    <w:rsid w:val="001A2C48"/>
    <w:rsid w:val="001A3325"/>
    <w:rsid w:val="001A337A"/>
    <w:rsid w:val="001A3E15"/>
    <w:rsid w:val="001A415F"/>
    <w:rsid w:val="001A5786"/>
    <w:rsid w:val="001A752D"/>
    <w:rsid w:val="001A79FE"/>
    <w:rsid w:val="001B038D"/>
    <w:rsid w:val="001B128F"/>
    <w:rsid w:val="001B1499"/>
    <w:rsid w:val="001B1897"/>
    <w:rsid w:val="001B273C"/>
    <w:rsid w:val="001B2773"/>
    <w:rsid w:val="001B33C3"/>
    <w:rsid w:val="001B56DF"/>
    <w:rsid w:val="001B5A24"/>
    <w:rsid w:val="001C1B5F"/>
    <w:rsid w:val="001C2C70"/>
    <w:rsid w:val="001C391B"/>
    <w:rsid w:val="001C7C75"/>
    <w:rsid w:val="001D02BB"/>
    <w:rsid w:val="001D166B"/>
    <w:rsid w:val="001D18E5"/>
    <w:rsid w:val="001D1FA2"/>
    <w:rsid w:val="001D20B6"/>
    <w:rsid w:val="001D394B"/>
    <w:rsid w:val="001D449D"/>
    <w:rsid w:val="001D4732"/>
    <w:rsid w:val="001D6644"/>
    <w:rsid w:val="001D66A4"/>
    <w:rsid w:val="001D6747"/>
    <w:rsid w:val="001E2C7F"/>
    <w:rsid w:val="001E2E5E"/>
    <w:rsid w:val="001E531D"/>
    <w:rsid w:val="001E6D8C"/>
    <w:rsid w:val="001E6EA9"/>
    <w:rsid w:val="001F0D01"/>
    <w:rsid w:val="001F10E2"/>
    <w:rsid w:val="001F21C0"/>
    <w:rsid w:val="001F2D91"/>
    <w:rsid w:val="001F360B"/>
    <w:rsid w:val="001F3610"/>
    <w:rsid w:val="001F3A2D"/>
    <w:rsid w:val="001F4DB1"/>
    <w:rsid w:val="001F6F9C"/>
    <w:rsid w:val="0020190D"/>
    <w:rsid w:val="0020390F"/>
    <w:rsid w:val="00203A9C"/>
    <w:rsid w:val="00204738"/>
    <w:rsid w:val="00204A17"/>
    <w:rsid w:val="00204EF8"/>
    <w:rsid w:val="00205A17"/>
    <w:rsid w:val="0020616C"/>
    <w:rsid w:val="002061CD"/>
    <w:rsid w:val="0021011B"/>
    <w:rsid w:val="0021063F"/>
    <w:rsid w:val="00211E7D"/>
    <w:rsid w:val="0021496B"/>
    <w:rsid w:val="002151C8"/>
    <w:rsid w:val="0021593A"/>
    <w:rsid w:val="00215B52"/>
    <w:rsid w:val="00215D51"/>
    <w:rsid w:val="00216924"/>
    <w:rsid w:val="00216F4F"/>
    <w:rsid w:val="002178DD"/>
    <w:rsid w:val="00221E3F"/>
    <w:rsid w:val="00224D02"/>
    <w:rsid w:val="0022593B"/>
    <w:rsid w:val="00226F53"/>
    <w:rsid w:val="00230381"/>
    <w:rsid w:val="0023392D"/>
    <w:rsid w:val="00234B2C"/>
    <w:rsid w:val="00234B3B"/>
    <w:rsid w:val="00235909"/>
    <w:rsid w:val="002360B9"/>
    <w:rsid w:val="00237AB6"/>
    <w:rsid w:val="002406B0"/>
    <w:rsid w:val="002408CC"/>
    <w:rsid w:val="00241E71"/>
    <w:rsid w:val="00242394"/>
    <w:rsid w:val="00244A3B"/>
    <w:rsid w:val="00244CD6"/>
    <w:rsid w:val="0024572A"/>
    <w:rsid w:val="00246076"/>
    <w:rsid w:val="00246749"/>
    <w:rsid w:val="00246871"/>
    <w:rsid w:val="002472F7"/>
    <w:rsid w:val="00250ADA"/>
    <w:rsid w:val="0025123E"/>
    <w:rsid w:val="00253C70"/>
    <w:rsid w:val="00256230"/>
    <w:rsid w:val="0025654C"/>
    <w:rsid w:val="0025735F"/>
    <w:rsid w:val="0026011A"/>
    <w:rsid w:val="002612EA"/>
    <w:rsid w:val="00261495"/>
    <w:rsid w:val="00266BD2"/>
    <w:rsid w:val="0026795F"/>
    <w:rsid w:val="00270516"/>
    <w:rsid w:val="00271E04"/>
    <w:rsid w:val="002723FB"/>
    <w:rsid w:val="00272ACF"/>
    <w:rsid w:val="00276C32"/>
    <w:rsid w:val="00280182"/>
    <w:rsid w:val="00280450"/>
    <w:rsid w:val="002804AD"/>
    <w:rsid w:val="00280F5C"/>
    <w:rsid w:val="002828A6"/>
    <w:rsid w:val="00282A99"/>
    <w:rsid w:val="00283EFA"/>
    <w:rsid w:val="00284F16"/>
    <w:rsid w:val="00285339"/>
    <w:rsid w:val="00285ABF"/>
    <w:rsid w:val="002864D4"/>
    <w:rsid w:val="00286680"/>
    <w:rsid w:val="00286806"/>
    <w:rsid w:val="00286A7B"/>
    <w:rsid w:val="00286DB6"/>
    <w:rsid w:val="002875A7"/>
    <w:rsid w:val="0029078D"/>
    <w:rsid w:val="00290B90"/>
    <w:rsid w:val="002913ED"/>
    <w:rsid w:val="002914F3"/>
    <w:rsid w:val="0029281E"/>
    <w:rsid w:val="00294CE8"/>
    <w:rsid w:val="002956ED"/>
    <w:rsid w:val="00295AB1"/>
    <w:rsid w:val="0029631F"/>
    <w:rsid w:val="0029638D"/>
    <w:rsid w:val="00296FE8"/>
    <w:rsid w:val="002A02D5"/>
    <w:rsid w:val="002A071A"/>
    <w:rsid w:val="002A23C4"/>
    <w:rsid w:val="002A2ABD"/>
    <w:rsid w:val="002A692B"/>
    <w:rsid w:val="002A7475"/>
    <w:rsid w:val="002A7A28"/>
    <w:rsid w:val="002B02DB"/>
    <w:rsid w:val="002B0758"/>
    <w:rsid w:val="002B08DA"/>
    <w:rsid w:val="002B6800"/>
    <w:rsid w:val="002B707B"/>
    <w:rsid w:val="002B7F68"/>
    <w:rsid w:val="002C060D"/>
    <w:rsid w:val="002C0AA2"/>
    <w:rsid w:val="002C1181"/>
    <w:rsid w:val="002C1745"/>
    <w:rsid w:val="002C18A0"/>
    <w:rsid w:val="002C1C76"/>
    <w:rsid w:val="002C3200"/>
    <w:rsid w:val="002C3D18"/>
    <w:rsid w:val="002C3E29"/>
    <w:rsid w:val="002C416A"/>
    <w:rsid w:val="002C4662"/>
    <w:rsid w:val="002C4805"/>
    <w:rsid w:val="002C6000"/>
    <w:rsid w:val="002C6ED7"/>
    <w:rsid w:val="002C768D"/>
    <w:rsid w:val="002D0359"/>
    <w:rsid w:val="002D2752"/>
    <w:rsid w:val="002D465D"/>
    <w:rsid w:val="002D4FE5"/>
    <w:rsid w:val="002D5568"/>
    <w:rsid w:val="002D5A93"/>
    <w:rsid w:val="002E0DAB"/>
    <w:rsid w:val="002E1315"/>
    <w:rsid w:val="002E1B16"/>
    <w:rsid w:val="002E209B"/>
    <w:rsid w:val="002E5A3E"/>
    <w:rsid w:val="002E5BAC"/>
    <w:rsid w:val="002E7049"/>
    <w:rsid w:val="002F0743"/>
    <w:rsid w:val="002F18AC"/>
    <w:rsid w:val="002F2651"/>
    <w:rsid w:val="002F32CA"/>
    <w:rsid w:val="002F3B12"/>
    <w:rsid w:val="002F4F64"/>
    <w:rsid w:val="002F536F"/>
    <w:rsid w:val="002F53E4"/>
    <w:rsid w:val="002F5A79"/>
    <w:rsid w:val="0030011E"/>
    <w:rsid w:val="003005B9"/>
    <w:rsid w:val="00301BC6"/>
    <w:rsid w:val="00301E5F"/>
    <w:rsid w:val="003039A3"/>
    <w:rsid w:val="00306227"/>
    <w:rsid w:val="00306776"/>
    <w:rsid w:val="0030688A"/>
    <w:rsid w:val="00310B36"/>
    <w:rsid w:val="003126AC"/>
    <w:rsid w:val="00312E82"/>
    <w:rsid w:val="00312ECB"/>
    <w:rsid w:val="003134C4"/>
    <w:rsid w:val="003135D6"/>
    <w:rsid w:val="00313B70"/>
    <w:rsid w:val="00313D62"/>
    <w:rsid w:val="00315234"/>
    <w:rsid w:val="0031594C"/>
    <w:rsid w:val="00317C7B"/>
    <w:rsid w:val="00321933"/>
    <w:rsid w:val="00321D5D"/>
    <w:rsid w:val="00322469"/>
    <w:rsid w:val="00322893"/>
    <w:rsid w:val="0032586F"/>
    <w:rsid w:val="00326778"/>
    <w:rsid w:val="00327470"/>
    <w:rsid w:val="003304EF"/>
    <w:rsid w:val="00330B84"/>
    <w:rsid w:val="00330D54"/>
    <w:rsid w:val="003313FE"/>
    <w:rsid w:val="0033254E"/>
    <w:rsid w:val="00332A3E"/>
    <w:rsid w:val="00333C34"/>
    <w:rsid w:val="00334352"/>
    <w:rsid w:val="0033488F"/>
    <w:rsid w:val="00336311"/>
    <w:rsid w:val="00336B1F"/>
    <w:rsid w:val="003370AD"/>
    <w:rsid w:val="003425FF"/>
    <w:rsid w:val="00343426"/>
    <w:rsid w:val="00343725"/>
    <w:rsid w:val="003464E6"/>
    <w:rsid w:val="00346A00"/>
    <w:rsid w:val="00347608"/>
    <w:rsid w:val="003523B8"/>
    <w:rsid w:val="00353BAB"/>
    <w:rsid w:val="003545AF"/>
    <w:rsid w:val="00354A1D"/>
    <w:rsid w:val="003564CA"/>
    <w:rsid w:val="00356C10"/>
    <w:rsid w:val="00357B97"/>
    <w:rsid w:val="0036046C"/>
    <w:rsid w:val="0036070D"/>
    <w:rsid w:val="00360F22"/>
    <w:rsid w:val="00361276"/>
    <w:rsid w:val="003633F0"/>
    <w:rsid w:val="003652C3"/>
    <w:rsid w:val="00365B56"/>
    <w:rsid w:val="00366F32"/>
    <w:rsid w:val="00367765"/>
    <w:rsid w:val="003679A1"/>
    <w:rsid w:val="003702D9"/>
    <w:rsid w:val="003722EC"/>
    <w:rsid w:val="00373153"/>
    <w:rsid w:val="00374076"/>
    <w:rsid w:val="00375256"/>
    <w:rsid w:val="00375963"/>
    <w:rsid w:val="00376207"/>
    <w:rsid w:val="00380371"/>
    <w:rsid w:val="00381628"/>
    <w:rsid w:val="00382595"/>
    <w:rsid w:val="00382977"/>
    <w:rsid w:val="003833C0"/>
    <w:rsid w:val="00384E4C"/>
    <w:rsid w:val="00385CEA"/>
    <w:rsid w:val="00385E7F"/>
    <w:rsid w:val="00385FC3"/>
    <w:rsid w:val="00386835"/>
    <w:rsid w:val="003907DF"/>
    <w:rsid w:val="00390C45"/>
    <w:rsid w:val="00390CCA"/>
    <w:rsid w:val="00391CC0"/>
    <w:rsid w:val="00393B88"/>
    <w:rsid w:val="00393C36"/>
    <w:rsid w:val="00394015"/>
    <w:rsid w:val="003941D7"/>
    <w:rsid w:val="003965CF"/>
    <w:rsid w:val="003973C6"/>
    <w:rsid w:val="00397757"/>
    <w:rsid w:val="00397A91"/>
    <w:rsid w:val="003A1169"/>
    <w:rsid w:val="003A1BB7"/>
    <w:rsid w:val="003A2105"/>
    <w:rsid w:val="003A2E44"/>
    <w:rsid w:val="003A3177"/>
    <w:rsid w:val="003A3900"/>
    <w:rsid w:val="003A5DF8"/>
    <w:rsid w:val="003A77BC"/>
    <w:rsid w:val="003A785F"/>
    <w:rsid w:val="003B066F"/>
    <w:rsid w:val="003B06C2"/>
    <w:rsid w:val="003B118D"/>
    <w:rsid w:val="003B4218"/>
    <w:rsid w:val="003C10BF"/>
    <w:rsid w:val="003C1AF6"/>
    <w:rsid w:val="003C3EE9"/>
    <w:rsid w:val="003C4014"/>
    <w:rsid w:val="003C4151"/>
    <w:rsid w:val="003C419E"/>
    <w:rsid w:val="003C4548"/>
    <w:rsid w:val="003C51E1"/>
    <w:rsid w:val="003C5978"/>
    <w:rsid w:val="003C5FB4"/>
    <w:rsid w:val="003C7B9D"/>
    <w:rsid w:val="003D00E7"/>
    <w:rsid w:val="003D025E"/>
    <w:rsid w:val="003D0EC1"/>
    <w:rsid w:val="003D141A"/>
    <w:rsid w:val="003D1947"/>
    <w:rsid w:val="003D2507"/>
    <w:rsid w:val="003D3E40"/>
    <w:rsid w:val="003D6EEC"/>
    <w:rsid w:val="003E07A5"/>
    <w:rsid w:val="003E1889"/>
    <w:rsid w:val="003E2801"/>
    <w:rsid w:val="003E2C21"/>
    <w:rsid w:val="003E3586"/>
    <w:rsid w:val="003E431B"/>
    <w:rsid w:val="003E7753"/>
    <w:rsid w:val="003E7BAB"/>
    <w:rsid w:val="003F1051"/>
    <w:rsid w:val="003F250E"/>
    <w:rsid w:val="003F323B"/>
    <w:rsid w:val="003F37A3"/>
    <w:rsid w:val="003F4372"/>
    <w:rsid w:val="003F4D9E"/>
    <w:rsid w:val="003F4F47"/>
    <w:rsid w:val="003F58EB"/>
    <w:rsid w:val="003F7C16"/>
    <w:rsid w:val="003F7D81"/>
    <w:rsid w:val="004004D1"/>
    <w:rsid w:val="00400D47"/>
    <w:rsid w:val="0040124E"/>
    <w:rsid w:val="00401E03"/>
    <w:rsid w:val="00403E46"/>
    <w:rsid w:val="00404AB6"/>
    <w:rsid w:val="0040561F"/>
    <w:rsid w:val="00405E1B"/>
    <w:rsid w:val="00406094"/>
    <w:rsid w:val="00406301"/>
    <w:rsid w:val="004068D6"/>
    <w:rsid w:val="004072FF"/>
    <w:rsid w:val="004074FF"/>
    <w:rsid w:val="00407B32"/>
    <w:rsid w:val="00410703"/>
    <w:rsid w:val="004114F8"/>
    <w:rsid w:val="00413706"/>
    <w:rsid w:val="00413C27"/>
    <w:rsid w:val="004148A2"/>
    <w:rsid w:val="00414CD2"/>
    <w:rsid w:val="00415F5E"/>
    <w:rsid w:val="0041625E"/>
    <w:rsid w:val="004165C1"/>
    <w:rsid w:val="004172F6"/>
    <w:rsid w:val="00417ADA"/>
    <w:rsid w:val="00417AF6"/>
    <w:rsid w:val="00417C1C"/>
    <w:rsid w:val="004200AF"/>
    <w:rsid w:val="0042069C"/>
    <w:rsid w:val="004213F4"/>
    <w:rsid w:val="004221D9"/>
    <w:rsid w:val="0042491E"/>
    <w:rsid w:val="00425B23"/>
    <w:rsid w:val="00425C57"/>
    <w:rsid w:val="00427130"/>
    <w:rsid w:val="00427522"/>
    <w:rsid w:val="00430020"/>
    <w:rsid w:val="00430758"/>
    <w:rsid w:val="00430B02"/>
    <w:rsid w:val="00430CC0"/>
    <w:rsid w:val="00430E24"/>
    <w:rsid w:val="004333EE"/>
    <w:rsid w:val="00433FCA"/>
    <w:rsid w:val="00434B34"/>
    <w:rsid w:val="00434C05"/>
    <w:rsid w:val="00434E9F"/>
    <w:rsid w:val="00435879"/>
    <w:rsid w:val="00440B83"/>
    <w:rsid w:val="0044197B"/>
    <w:rsid w:val="00443149"/>
    <w:rsid w:val="0044389A"/>
    <w:rsid w:val="00443D53"/>
    <w:rsid w:val="004446F0"/>
    <w:rsid w:val="0044534E"/>
    <w:rsid w:val="004501F6"/>
    <w:rsid w:val="00451624"/>
    <w:rsid w:val="004528CD"/>
    <w:rsid w:val="00452945"/>
    <w:rsid w:val="00452F50"/>
    <w:rsid w:val="00453234"/>
    <w:rsid w:val="0045354F"/>
    <w:rsid w:val="0045578E"/>
    <w:rsid w:val="00456260"/>
    <w:rsid w:val="00456719"/>
    <w:rsid w:val="00457426"/>
    <w:rsid w:val="004574B7"/>
    <w:rsid w:val="004574C1"/>
    <w:rsid w:val="00460544"/>
    <w:rsid w:val="0046056E"/>
    <w:rsid w:val="00460E98"/>
    <w:rsid w:val="00461638"/>
    <w:rsid w:val="00462AE2"/>
    <w:rsid w:val="00462BD0"/>
    <w:rsid w:val="00463745"/>
    <w:rsid w:val="00463795"/>
    <w:rsid w:val="00464A25"/>
    <w:rsid w:val="004667C2"/>
    <w:rsid w:val="00467F0B"/>
    <w:rsid w:val="004708FD"/>
    <w:rsid w:val="0047243C"/>
    <w:rsid w:val="00472674"/>
    <w:rsid w:val="00473286"/>
    <w:rsid w:val="00475D67"/>
    <w:rsid w:val="00476907"/>
    <w:rsid w:val="00476D80"/>
    <w:rsid w:val="00476D8B"/>
    <w:rsid w:val="00477193"/>
    <w:rsid w:val="0047740D"/>
    <w:rsid w:val="00477531"/>
    <w:rsid w:val="00477F3C"/>
    <w:rsid w:val="00480146"/>
    <w:rsid w:val="004805DA"/>
    <w:rsid w:val="004811D7"/>
    <w:rsid w:val="00481CF2"/>
    <w:rsid w:val="00483085"/>
    <w:rsid w:val="00484D37"/>
    <w:rsid w:val="0048595F"/>
    <w:rsid w:val="00485F2A"/>
    <w:rsid w:val="0048712D"/>
    <w:rsid w:val="00490450"/>
    <w:rsid w:val="004915D2"/>
    <w:rsid w:val="00492B29"/>
    <w:rsid w:val="004968AA"/>
    <w:rsid w:val="0049768F"/>
    <w:rsid w:val="00497AE7"/>
    <w:rsid w:val="004A0115"/>
    <w:rsid w:val="004A1161"/>
    <w:rsid w:val="004A373C"/>
    <w:rsid w:val="004A4F13"/>
    <w:rsid w:val="004A522D"/>
    <w:rsid w:val="004A6109"/>
    <w:rsid w:val="004A6D05"/>
    <w:rsid w:val="004A6D1A"/>
    <w:rsid w:val="004A72F1"/>
    <w:rsid w:val="004A77ED"/>
    <w:rsid w:val="004A7AD6"/>
    <w:rsid w:val="004B02B7"/>
    <w:rsid w:val="004B1067"/>
    <w:rsid w:val="004B1296"/>
    <w:rsid w:val="004B1D4C"/>
    <w:rsid w:val="004B236F"/>
    <w:rsid w:val="004B2E18"/>
    <w:rsid w:val="004B38E8"/>
    <w:rsid w:val="004B414A"/>
    <w:rsid w:val="004B4BC7"/>
    <w:rsid w:val="004B52E2"/>
    <w:rsid w:val="004B5C07"/>
    <w:rsid w:val="004B5F7E"/>
    <w:rsid w:val="004B6568"/>
    <w:rsid w:val="004B666F"/>
    <w:rsid w:val="004B6771"/>
    <w:rsid w:val="004B752B"/>
    <w:rsid w:val="004C1760"/>
    <w:rsid w:val="004C2563"/>
    <w:rsid w:val="004C3323"/>
    <w:rsid w:val="004C4F0A"/>
    <w:rsid w:val="004C5E92"/>
    <w:rsid w:val="004C5FDA"/>
    <w:rsid w:val="004C6987"/>
    <w:rsid w:val="004C6ED4"/>
    <w:rsid w:val="004C78E5"/>
    <w:rsid w:val="004D077B"/>
    <w:rsid w:val="004D17DF"/>
    <w:rsid w:val="004D183C"/>
    <w:rsid w:val="004D28EF"/>
    <w:rsid w:val="004D59D1"/>
    <w:rsid w:val="004D659D"/>
    <w:rsid w:val="004E0832"/>
    <w:rsid w:val="004E0CF6"/>
    <w:rsid w:val="004E1ECC"/>
    <w:rsid w:val="004E321B"/>
    <w:rsid w:val="004E4C03"/>
    <w:rsid w:val="004E5ED8"/>
    <w:rsid w:val="004E65C7"/>
    <w:rsid w:val="004E7309"/>
    <w:rsid w:val="004E756D"/>
    <w:rsid w:val="004F02DA"/>
    <w:rsid w:val="004F5480"/>
    <w:rsid w:val="004F551D"/>
    <w:rsid w:val="004F7602"/>
    <w:rsid w:val="004F7D72"/>
    <w:rsid w:val="00500382"/>
    <w:rsid w:val="005016E0"/>
    <w:rsid w:val="00501AFB"/>
    <w:rsid w:val="00502B15"/>
    <w:rsid w:val="00506375"/>
    <w:rsid w:val="00506EDF"/>
    <w:rsid w:val="00507CDD"/>
    <w:rsid w:val="005105CD"/>
    <w:rsid w:val="00511992"/>
    <w:rsid w:val="005128EF"/>
    <w:rsid w:val="005128F7"/>
    <w:rsid w:val="00512D84"/>
    <w:rsid w:val="00513BC0"/>
    <w:rsid w:val="00513CBB"/>
    <w:rsid w:val="00514541"/>
    <w:rsid w:val="00516E23"/>
    <w:rsid w:val="00517035"/>
    <w:rsid w:val="00517680"/>
    <w:rsid w:val="00520CF9"/>
    <w:rsid w:val="0052456A"/>
    <w:rsid w:val="00524E03"/>
    <w:rsid w:val="00525154"/>
    <w:rsid w:val="00525DF8"/>
    <w:rsid w:val="00527993"/>
    <w:rsid w:val="00527AB7"/>
    <w:rsid w:val="00533CD8"/>
    <w:rsid w:val="005340FE"/>
    <w:rsid w:val="005344BF"/>
    <w:rsid w:val="005353CD"/>
    <w:rsid w:val="0053618B"/>
    <w:rsid w:val="00541EA2"/>
    <w:rsid w:val="00542E2F"/>
    <w:rsid w:val="0054443C"/>
    <w:rsid w:val="00544885"/>
    <w:rsid w:val="00544C19"/>
    <w:rsid w:val="00545624"/>
    <w:rsid w:val="005458EC"/>
    <w:rsid w:val="005464F6"/>
    <w:rsid w:val="005503CF"/>
    <w:rsid w:val="00550638"/>
    <w:rsid w:val="00550F7B"/>
    <w:rsid w:val="005510BA"/>
    <w:rsid w:val="005516C4"/>
    <w:rsid w:val="0055196B"/>
    <w:rsid w:val="00552AA6"/>
    <w:rsid w:val="005546BE"/>
    <w:rsid w:val="00555E06"/>
    <w:rsid w:val="00556683"/>
    <w:rsid w:val="005573D5"/>
    <w:rsid w:val="0055783F"/>
    <w:rsid w:val="00561ADA"/>
    <w:rsid w:val="00562C7A"/>
    <w:rsid w:val="005639CB"/>
    <w:rsid w:val="00564037"/>
    <w:rsid w:val="005654FD"/>
    <w:rsid w:val="0056569C"/>
    <w:rsid w:val="00566B5F"/>
    <w:rsid w:val="00567206"/>
    <w:rsid w:val="005702C2"/>
    <w:rsid w:val="00570E0C"/>
    <w:rsid w:val="00571A16"/>
    <w:rsid w:val="00571E4D"/>
    <w:rsid w:val="00572BFE"/>
    <w:rsid w:val="00577DE6"/>
    <w:rsid w:val="00580032"/>
    <w:rsid w:val="00580EA2"/>
    <w:rsid w:val="0058267D"/>
    <w:rsid w:val="00582DF1"/>
    <w:rsid w:val="00583339"/>
    <w:rsid w:val="0058357E"/>
    <w:rsid w:val="00583A45"/>
    <w:rsid w:val="005841B0"/>
    <w:rsid w:val="0058456B"/>
    <w:rsid w:val="00585378"/>
    <w:rsid w:val="00586576"/>
    <w:rsid w:val="005874A8"/>
    <w:rsid w:val="0058779B"/>
    <w:rsid w:val="0059188A"/>
    <w:rsid w:val="005920D7"/>
    <w:rsid w:val="00592B13"/>
    <w:rsid w:val="00594721"/>
    <w:rsid w:val="005957BF"/>
    <w:rsid w:val="005968D8"/>
    <w:rsid w:val="00596B88"/>
    <w:rsid w:val="00596CF7"/>
    <w:rsid w:val="00597AA7"/>
    <w:rsid w:val="00597E48"/>
    <w:rsid w:val="005A0064"/>
    <w:rsid w:val="005A0CC8"/>
    <w:rsid w:val="005A1002"/>
    <w:rsid w:val="005A2CB9"/>
    <w:rsid w:val="005A2DF1"/>
    <w:rsid w:val="005A305A"/>
    <w:rsid w:val="005A3AD4"/>
    <w:rsid w:val="005A4E23"/>
    <w:rsid w:val="005A59A7"/>
    <w:rsid w:val="005B060A"/>
    <w:rsid w:val="005B15D5"/>
    <w:rsid w:val="005B161F"/>
    <w:rsid w:val="005B2E0C"/>
    <w:rsid w:val="005B4656"/>
    <w:rsid w:val="005B5000"/>
    <w:rsid w:val="005B5355"/>
    <w:rsid w:val="005B6F1B"/>
    <w:rsid w:val="005C07B7"/>
    <w:rsid w:val="005C0A7E"/>
    <w:rsid w:val="005C0D06"/>
    <w:rsid w:val="005C0F33"/>
    <w:rsid w:val="005C2407"/>
    <w:rsid w:val="005C2E9D"/>
    <w:rsid w:val="005C4EB8"/>
    <w:rsid w:val="005C64A6"/>
    <w:rsid w:val="005D16C6"/>
    <w:rsid w:val="005D1B4A"/>
    <w:rsid w:val="005D1C96"/>
    <w:rsid w:val="005D1D6D"/>
    <w:rsid w:val="005D1DEE"/>
    <w:rsid w:val="005D222D"/>
    <w:rsid w:val="005D401C"/>
    <w:rsid w:val="005D49E9"/>
    <w:rsid w:val="005D4E2E"/>
    <w:rsid w:val="005D4EB0"/>
    <w:rsid w:val="005D60EB"/>
    <w:rsid w:val="005D6509"/>
    <w:rsid w:val="005D6FE6"/>
    <w:rsid w:val="005D7913"/>
    <w:rsid w:val="005E05B9"/>
    <w:rsid w:val="005E0E2C"/>
    <w:rsid w:val="005E29C1"/>
    <w:rsid w:val="005E2B55"/>
    <w:rsid w:val="005E38E9"/>
    <w:rsid w:val="005E3C40"/>
    <w:rsid w:val="005E3FBD"/>
    <w:rsid w:val="005E4163"/>
    <w:rsid w:val="005E4479"/>
    <w:rsid w:val="005E462C"/>
    <w:rsid w:val="005E523D"/>
    <w:rsid w:val="005E5E1A"/>
    <w:rsid w:val="005E7819"/>
    <w:rsid w:val="005F000B"/>
    <w:rsid w:val="005F3383"/>
    <w:rsid w:val="005F3767"/>
    <w:rsid w:val="00600D27"/>
    <w:rsid w:val="00600FFE"/>
    <w:rsid w:val="00601BFC"/>
    <w:rsid w:val="0060269A"/>
    <w:rsid w:val="00610D76"/>
    <w:rsid w:val="00611779"/>
    <w:rsid w:val="0061382D"/>
    <w:rsid w:val="00613BC9"/>
    <w:rsid w:val="006157C0"/>
    <w:rsid w:val="0061766E"/>
    <w:rsid w:val="00620A52"/>
    <w:rsid w:val="00621368"/>
    <w:rsid w:val="00621A68"/>
    <w:rsid w:val="006222E0"/>
    <w:rsid w:val="00623311"/>
    <w:rsid w:val="00623DC1"/>
    <w:rsid w:val="00626A65"/>
    <w:rsid w:val="00627905"/>
    <w:rsid w:val="006307E3"/>
    <w:rsid w:val="00631F88"/>
    <w:rsid w:val="006323B9"/>
    <w:rsid w:val="00632AA5"/>
    <w:rsid w:val="006332E0"/>
    <w:rsid w:val="006337B7"/>
    <w:rsid w:val="00633E6F"/>
    <w:rsid w:val="006345D6"/>
    <w:rsid w:val="0063476B"/>
    <w:rsid w:val="0063492D"/>
    <w:rsid w:val="00635588"/>
    <w:rsid w:val="006413D1"/>
    <w:rsid w:val="00641E45"/>
    <w:rsid w:val="00643308"/>
    <w:rsid w:val="00643EB1"/>
    <w:rsid w:val="00645D97"/>
    <w:rsid w:val="006466AF"/>
    <w:rsid w:val="00646A6B"/>
    <w:rsid w:val="006503F0"/>
    <w:rsid w:val="00650BE3"/>
    <w:rsid w:val="006510A5"/>
    <w:rsid w:val="00651240"/>
    <w:rsid w:val="00654A55"/>
    <w:rsid w:val="006559B7"/>
    <w:rsid w:val="00657372"/>
    <w:rsid w:val="006600D5"/>
    <w:rsid w:val="00661BAF"/>
    <w:rsid w:val="00662013"/>
    <w:rsid w:val="00662112"/>
    <w:rsid w:val="006633A2"/>
    <w:rsid w:val="00665AAB"/>
    <w:rsid w:val="00665E53"/>
    <w:rsid w:val="0066655C"/>
    <w:rsid w:val="00666802"/>
    <w:rsid w:val="006671F3"/>
    <w:rsid w:val="006674DA"/>
    <w:rsid w:val="0067010E"/>
    <w:rsid w:val="00671703"/>
    <w:rsid w:val="006724ED"/>
    <w:rsid w:val="0067354A"/>
    <w:rsid w:val="00674D5A"/>
    <w:rsid w:val="00675FCB"/>
    <w:rsid w:val="006769BE"/>
    <w:rsid w:val="0067734E"/>
    <w:rsid w:val="006801BC"/>
    <w:rsid w:val="00682404"/>
    <w:rsid w:val="006830E6"/>
    <w:rsid w:val="00684120"/>
    <w:rsid w:val="00684BCB"/>
    <w:rsid w:val="006871B9"/>
    <w:rsid w:val="006878A5"/>
    <w:rsid w:val="00691D5A"/>
    <w:rsid w:val="00692A6B"/>
    <w:rsid w:val="00692C6A"/>
    <w:rsid w:val="00693BF3"/>
    <w:rsid w:val="0069549D"/>
    <w:rsid w:val="00696A1B"/>
    <w:rsid w:val="006A14C2"/>
    <w:rsid w:val="006A1D33"/>
    <w:rsid w:val="006A2114"/>
    <w:rsid w:val="006A21F1"/>
    <w:rsid w:val="006A3891"/>
    <w:rsid w:val="006A3A9C"/>
    <w:rsid w:val="006A3B92"/>
    <w:rsid w:val="006A3F13"/>
    <w:rsid w:val="006A5CF0"/>
    <w:rsid w:val="006A7B47"/>
    <w:rsid w:val="006A7E51"/>
    <w:rsid w:val="006B224B"/>
    <w:rsid w:val="006B24FD"/>
    <w:rsid w:val="006B2773"/>
    <w:rsid w:val="006B305D"/>
    <w:rsid w:val="006B62E7"/>
    <w:rsid w:val="006B6D3E"/>
    <w:rsid w:val="006B6EDC"/>
    <w:rsid w:val="006B7F70"/>
    <w:rsid w:val="006C1193"/>
    <w:rsid w:val="006C14CA"/>
    <w:rsid w:val="006C32A5"/>
    <w:rsid w:val="006C4885"/>
    <w:rsid w:val="006C4E8D"/>
    <w:rsid w:val="006C524F"/>
    <w:rsid w:val="006C5AE0"/>
    <w:rsid w:val="006C5B0A"/>
    <w:rsid w:val="006C625D"/>
    <w:rsid w:val="006C6F3A"/>
    <w:rsid w:val="006D009C"/>
    <w:rsid w:val="006D22BE"/>
    <w:rsid w:val="006D248C"/>
    <w:rsid w:val="006D2CDF"/>
    <w:rsid w:val="006D2E4C"/>
    <w:rsid w:val="006D39A8"/>
    <w:rsid w:val="006D4A36"/>
    <w:rsid w:val="006D512A"/>
    <w:rsid w:val="006D53BC"/>
    <w:rsid w:val="006D6D4A"/>
    <w:rsid w:val="006D7E78"/>
    <w:rsid w:val="006E0C71"/>
    <w:rsid w:val="006E3065"/>
    <w:rsid w:val="006E3483"/>
    <w:rsid w:val="006E3600"/>
    <w:rsid w:val="006E4214"/>
    <w:rsid w:val="006E4C58"/>
    <w:rsid w:val="006E4F1E"/>
    <w:rsid w:val="006E57C9"/>
    <w:rsid w:val="006F06E9"/>
    <w:rsid w:val="006F0D31"/>
    <w:rsid w:val="006F12F7"/>
    <w:rsid w:val="006F197A"/>
    <w:rsid w:val="006F1AC8"/>
    <w:rsid w:val="006F1B8B"/>
    <w:rsid w:val="006F1D9E"/>
    <w:rsid w:val="006F1F44"/>
    <w:rsid w:val="006F2B60"/>
    <w:rsid w:val="006F2C6A"/>
    <w:rsid w:val="006F463D"/>
    <w:rsid w:val="006F4660"/>
    <w:rsid w:val="006F5148"/>
    <w:rsid w:val="006F6DC3"/>
    <w:rsid w:val="006F79DF"/>
    <w:rsid w:val="007014F8"/>
    <w:rsid w:val="00702C2A"/>
    <w:rsid w:val="00704167"/>
    <w:rsid w:val="00704EE6"/>
    <w:rsid w:val="0070600A"/>
    <w:rsid w:val="007064A9"/>
    <w:rsid w:val="00706EF4"/>
    <w:rsid w:val="00711668"/>
    <w:rsid w:val="007119C0"/>
    <w:rsid w:val="00712E90"/>
    <w:rsid w:val="00713C57"/>
    <w:rsid w:val="00715352"/>
    <w:rsid w:val="007153CA"/>
    <w:rsid w:val="00716A3B"/>
    <w:rsid w:val="00716CAA"/>
    <w:rsid w:val="00717865"/>
    <w:rsid w:val="007179D5"/>
    <w:rsid w:val="00717DCD"/>
    <w:rsid w:val="00720962"/>
    <w:rsid w:val="00721DD5"/>
    <w:rsid w:val="00723FBE"/>
    <w:rsid w:val="00724F87"/>
    <w:rsid w:val="0073012B"/>
    <w:rsid w:val="00730EC9"/>
    <w:rsid w:val="00732182"/>
    <w:rsid w:val="00732690"/>
    <w:rsid w:val="007327A8"/>
    <w:rsid w:val="00732AAC"/>
    <w:rsid w:val="00732CFC"/>
    <w:rsid w:val="00732EA8"/>
    <w:rsid w:val="00733507"/>
    <w:rsid w:val="00733556"/>
    <w:rsid w:val="00733D67"/>
    <w:rsid w:val="007342DD"/>
    <w:rsid w:val="00734D84"/>
    <w:rsid w:val="00735048"/>
    <w:rsid w:val="007352E4"/>
    <w:rsid w:val="00736267"/>
    <w:rsid w:val="007373D5"/>
    <w:rsid w:val="00737C60"/>
    <w:rsid w:val="00740569"/>
    <w:rsid w:val="00742E59"/>
    <w:rsid w:val="00743436"/>
    <w:rsid w:val="007478C4"/>
    <w:rsid w:val="00747AE4"/>
    <w:rsid w:val="00747AEC"/>
    <w:rsid w:val="00751AF0"/>
    <w:rsid w:val="00751DC9"/>
    <w:rsid w:val="007524D0"/>
    <w:rsid w:val="007526B8"/>
    <w:rsid w:val="0075288F"/>
    <w:rsid w:val="00753153"/>
    <w:rsid w:val="00755387"/>
    <w:rsid w:val="00755D28"/>
    <w:rsid w:val="00761082"/>
    <w:rsid w:val="00761B4B"/>
    <w:rsid w:val="00762BB7"/>
    <w:rsid w:val="00763B6E"/>
    <w:rsid w:val="00764999"/>
    <w:rsid w:val="00766166"/>
    <w:rsid w:val="00770929"/>
    <w:rsid w:val="0077094E"/>
    <w:rsid w:val="0077274A"/>
    <w:rsid w:val="00772A9E"/>
    <w:rsid w:val="007734C1"/>
    <w:rsid w:val="00775987"/>
    <w:rsid w:val="007838F7"/>
    <w:rsid w:val="00784632"/>
    <w:rsid w:val="007856D0"/>
    <w:rsid w:val="0078768C"/>
    <w:rsid w:val="007877A0"/>
    <w:rsid w:val="00790E8C"/>
    <w:rsid w:val="00792420"/>
    <w:rsid w:val="00792B47"/>
    <w:rsid w:val="00793B7B"/>
    <w:rsid w:val="00793D03"/>
    <w:rsid w:val="0079478C"/>
    <w:rsid w:val="00794FA9"/>
    <w:rsid w:val="007956F0"/>
    <w:rsid w:val="0079797A"/>
    <w:rsid w:val="007A0974"/>
    <w:rsid w:val="007A14E2"/>
    <w:rsid w:val="007A2EC2"/>
    <w:rsid w:val="007A64D6"/>
    <w:rsid w:val="007A6A2A"/>
    <w:rsid w:val="007A73D2"/>
    <w:rsid w:val="007B0865"/>
    <w:rsid w:val="007B1280"/>
    <w:rsid w:val="007B2AE7"/>
    <w:rsid w:val="007B2E00"/>
    <w:rsid w:val="007B38D2"/>
    <w:rsid w:val="007B39D1"/>
    <w:rsid w:val="007B5D52"/>
    <w:rsid w:val="007B5DC8"/>
    <w:rsid w:val="007B68AA"/>
    <w:rsid w:val="007B6ED1"/>
    <w:rsid w:val="007B7FBC"/>
    <w:rsid w:val="007C007E"/>
    <w:rsid w:val="007C067E"/>
    <w:rsid w:val="007C07C8"/>
    <w:rsid w:val="007C1B1E"/>
    <w:rsid w:val="007C1B75"/>
    <w:rsid w:val="007C2399"/>
    <w:rsid w:val="007C2B98"/>
    <w:rsid w:val="007C3AEB"/>
    <w:rsid w:val="007C5E4F"/>
    <w:rsid w:val="007D03E2"/>
    <w:rsid w:val="007D18B3"/>
    <w:rsid w:val="007D2289"/>
    <w:rsid w:val="007D3241"/>
    <w:rsid w:val="007D40C9"/>
    <w:rsid w:val="007D4C28"/>
    <w:rsid w:val="007D5F23"/>
    <w:rsid w:val="007D6033"/>
    <w:rsid w:val="007D62B7"/>
    <w:rsid w:val="007D6637"/>
    <w:rsid w:val="007D6AD6"/>
    <w:rsid w:val="007D6C81"/>
    <w:rsid w:val="007E0365"/>
    <w:rsid w:val="007E4228"/>
    <w:rsid w:val="007E456B"/>
    <w:rsid w:val="007E5897"/>
    <w:rsid w:val="007E5ADE"/>
    <w:rsid w:val="007F1168"/>
    <w:rsid w:val="007F1BA2"/>
    <w:rsid w:val="007F2BDB"/>
    <w:rsid w:val="007F30CD"/>
    <w:rsid w:val="007F39BC"/>
    <w:rsid w:val="007F41D4"/>
    <w:rsid w:val="007F4E20"/>
    <w:rsid w:val="007F4EC6"/>
    <w:rsid w:val="007F58BF"/>
    <w:rsid w:val="007F5DB1"/>
    <w:rsid w:val="007F64E8"/>
    <w:rsid w:val="007F7185"/>
    <w:rsid w:val="007F7199"/>
    <w:rsid w:val="00800173"/>
    <w:rsid w:val="008018BE"/>
    <w:rsid w:val="00802C6C"/>
    <w:rsid w:val="00803C01"/>
    <w:rsid w:val="00805F4D"/>
    <w:rsid w:val="00806016"/>
    <w:rsid w:val="0080690B"/>
    <w:rsid w:val="00807724"/>
    <w:rsid w:val="00810D17"/>
    <w:rsid w:val="00810EB8"/>
    <w:rsid w:val="008113BB"/>
    <w:rsid w:val="008115F5"/>
    <w:rsid w:val="00814A22"/>
    <w:rsid w:val="00815DB2"/>
    <w:rsid w:val="008174A3"/>
    <w:rsid w:val="0081751A"/>
    <w:rsid w:val="00821993"/>
    <w:rsid w:val="00821F79"/>
    <w:rsid w:val="008231B7"/>
    <w:rsid w:val="008234DC"/>
    <w:rsid w:val="00825B64"/>
    <w:rsid w:val="00825DDA"/>
    <w:rsid w:val="008263AD"/>
    <w:rsid w:val="00826FAE"/>
    <w:rsid w:val="00827C41"/>
    <w:rsid w:val="0083000B"/>
    <w:rsid w:val="0083061B"/>
    <w:rsid w:val="0083195B"/>
    <w:rsid w:val="00832BB9"/>
    <w:rsid w:val="008331C9"/>
    <w:rsid w:val="00833443"/>
    <w:rsid w:val="00834904"/>
    <w:rsid w:val="0083579E"/>
    <w:rsid w:val="0083581C"/>
    <w:rsid w:val="00835973"/>
    <w:rsid w:val="008364FA"/>
    <w:rsid w:val="00836708"/>
    <w:rsid w:val="00836A49"/>
    <w:rsid w:val="00842498"/>
    <w:rsid w:val="00843E21"/>
    <w:rsid w:val="00845E96"/>
    <w:rsid w:val="00850655"/>
    <w:rsid w:val="00850A4D"/>
    <w:rsid w:val="00850E0B"/>
    <w:rsid w:val="00851A83"/>
    <w:rsid w:val="008523C0"/>
    <w:rsid w:val="008541AA"/>
    <w:rsid w:val="00854D6F"/>
    <w:rsid w:val="0085514B"/>
    <w:rsid w:val="0085541A"/>
    <w:rsid w:val="0085689F"/>
    <w:rsid w:val="00862791"/>
    <w:rsid w:val="008635B1"/>
    <w:rsid w:val="008638B3"/>
    <w:rsid w:val="00865B5E"/>
    <w:rsid w:val="00866CDE"/>
    <w:rsid w:val="00867441"/>
    <w:rsid w:val="00871E8C"/>
    <w:rsid w:val="008720BA"/>
    <w:rsid w:val="00874ACA"/>
    <w:rsid w:val="008753A2"/>
    <w:rsid w:val="008756C3"/>
    <w:rsid w:val="00875848"/>
    <w:rsid w:val="008761E3"/>
    <w:rsid w:val="00877916"/>
    <w:rsid w:val="00881C80"/>
    <w:rsid w:val="008827FC"/>
    <w:rsid w:val="00882A9A"/>
    <w:rsid w:val="00882AC1"/>
    <w:rsid w:val="0088443F"/>
    <w:rsid w:val="0088465E"/>
    <w:rsid w:val="00886109"/>
    <w:rsid w:val="0088649D"/>
    <w:rsid w:val="00887C25"/>
    <w:rsid w:val="008904E1"/>
    <w:rsid w:val="00890895"/>
    <w:rsid w:val="00892503"/>
    <w:rsid w:val="00892BFB"/>
    <w:rsid w:val="00894081"/>
    <w:rsid w:val="008945D2"/>
    <w:rsid w:val="0089672B"/>
    <w:rsid w:val="00896825"/>
    <w:rsid w:val="008A004B"/>
    <w:rsid w:val="008A4E90"/>
    <w:rsid w:val="008A50DD"/>
    <w:rsid w:val="008A68DA"/>
    <w:rsid w:val="008A6BFC"/>
    <w:rsid w:val="008A7FDC"/>
    <w:rsid w:val="008B00F8"/>
    <w:rsid w:val="008B0300"/>
    <w:rsid w:val="008B1258"/>
    <w:rsid w:val="008B162A"/>
    <w:rsid w:val="008B1F32"/>
    <w:rsid w:val="008B229F"/>
    <w:rsid w:val="008B30D2"/>
    <w:rsid w:val="008B3715"/>
    <w:rsid w:val="008B3898"/>
    <w:rsid w:val="008B4E34"/>
    <w:rsid w:val="008B520E"/>
    <w:rsid w:val="008B775B"/>
    <w:rsid w:val="008C08CA"/>
    <w:rsid w:val="008C0970"/>
    <w:rsid w:val="008C1EFE"/>
    <w:rsid w:val="008C2C87"/>
    <w:rsid w:val="008C3702"/>
    <w:rsid w:val="008C4C29"/>
    <w:rsid w:val="008C52FE"/>
    <w:rsid w:val="008C5AC8"/>
    <w:rsid w:val="008C650F"/>
    <w:rsid w:val="008C6575"/>
    <w:rsid w:val="008C761A"/>
    <w:rsid w:val="008D21DA"/>
    <w:rsid w:val="008D278A"/>
    <w:rsid w:val="008D2B59"/>
    <w:rsid w:val="008D31D5"/>
    <w:rsid w:val="008D3660"/>
    <w:rsid w:val="008D3900"/>
    <w:rsid w:val="008D4C94"/>
    <w:rsid w:val="008D5374"/>
    <w:rsid w:val="008D53BE"/>
    <w:rsid w:val="008D6982"/>
    <w:rsid w:val="008D706B"/>
    <w:rsid w:val="008D7D15"/>
    <w:rsid w:val="008E149E"/>
    <w:rsid w:val="008E1717"/>
    <w:rsid w:val="008E1AEF"/>
    <w:rsid w:val="008E1C06"/>
    <w:rsid w:val="008E2E9D"/>
    <w:rsid w:val="008E5BC2"/>
    <w:rsid w:val="008F140F"/>
    <w:rsid w:val="008F42F5"/>
    <w:rsid w:val="008F4446"/>
    <w:rsid w:val="008F50A6"/>
    <w:rsid w:val="008F5374"/>
    <w:rsid w:val="008F6075"/>
    <w:rsid w:val="008F689B"/>
    <w:rsid w:val="008F7266"/>
    <w:rsid w:val="008F7A0E"/>
    <w:rsid w:val="009001A7"/>
    <w:rsid w:val="009003A8"/>
    <w:rsid w:val="00900DE7"/>
    <w:rsid w:val="009022F8"/>
    <w:rsid w:val="009037F3"/>
    <w:rsid w:val="009053B5"/>
    <w:rsid w:val="009068A4"/>
    <w:rsid w:val="009117FD"/>
    <w:rsid w:val="0091197F"/>
    <w:rsid w:val="00912A23"/>
    <w:rsid w:val="00913490"/>
    <w:rsid w:val="009137B0"/>
    <w:rsid w:val="0091429B"/>
    <w:rsid w:val="0091486A"/>
    <w:rsid w:val="00916271"/>
    <w:rsid w:val="00917433"/>
    <w:rsid w:val="00917463"/>
    <w:rsid w:val="009179CE"/>
    <w:rsid w:val="00917EDD"/>
    <w:rsid w:val="00921AAE"/>
    <w:rsid w:val="00922541"/>
    <w:rsid w:val="00922E35"/>
    <w:rsid w:val="00923999"/>
    <w:rsid w:val="009242D5"/>
    <w:rsid w:val="00925AC4"/>
    <w:rsid w:val="009268D2"/>
    <w:rsid w:val="0092741A"/>
    <w:rsid w:val="009316A3"/>
    <w:rsid w:val="00933D8D"/>
    <w:rsid w:val="0093602E"/>
    <w:rsid w:val="0093714A"/>
    <w:rsid w:val="00940F3C"/>
    <w:rsid w:val="00941568"/>
    <w:rsid w:val="00941E9F"/>
    <w:rsid w:val="00942BD1"/>
    <w:rsid w:val="00942FBE"/>
    <w:rsid w:val="009431C0"/>
    <w:rsid w:val="009460A5"/>
    <w:rsid w:val="009465AA"/>
    <w:rsid w:val="00947A7A"/>
    <w:rsid w:val="00947D2F"/>
    <w:rsid w:val="00950F9F"/>
    <w:rsid w:val="009513FD"/>
    <w:rsid w:val="00954478"/>
    <w:rsid w:val="00954C29"/>
    <w:rsid w:val="00956001"/>
    <w:rsid w:val="00956904"/>
    <w:rsid w:val="00960B50"/>
    <w:rsid w:val="00961931"/>
    <w:rsid w:val="00962243"/>
    <w:rsid w:val="0096494E"/>
    <w:rsid w:val="00964D02"/>
    <w:rsid w:val="00965474"/>
    <w:rsid w:val="009654D1"/>
    <w:rsid w:val="009660C7"/>
    <w:rsid w:val="0096693C"/>
    <w:rsid w:val="00966E31"/>
    <w:rsid w:val="00967833"/>
    <w:rsid w:val="00967DDC"/>
    <w:rsid w:val="00967E8C"/>
    <w:rsid w:val="009702BC"/>
    <w:rsid w:val="00971AD6"/>
    <w:rsid w:val="00972A83"/>
    <w:rsid w:val="00973399"/>
    <w:rsid w:val="009742A1"/>
    <w:rsid w:val="00975D5B"/>
    <w:rsid w:val="00975FAA"/>
    <w:rsid w:val="0097625C"/>
    <w:rsid w:val="009763F1"/>
    <w:rsid w:val="00976566"/>
    <w:rsid w:val="00976BAE"/>
    <w:rsid w:val="00977488"/>
    <w:rsid w:val="00980235"/>
    <w:rsid w:val="0098042D"/>
    <w:rsid w:val="00980904"/>
    <w:rsid w:val="00980BF5"/>
    <w:rsid w:val="00980C76"/>
    <w:rsid w:val="00982AE0"/>
    <w:rsid w:val="00983292"/>
    <w:rsid w:val="00986773"/>
    <w:rsid w:val="00987C5A"/>
    <w:rsid w:val="009904D6"/>
    <w:rsid w:val="00990A1E"/>
    <w:rsid w:val="00990AB0"/>
    <w:rsid w:val="00994A17"/>
    <w:rsid w:val="00995778"/>
    <w:rsid w:val="009957C0"/>
    <w:rsid w:val="00996387"/>
    <w:rsid w:val="00997E83"/>
    <w:rsid w:val="00997EE1"/>
    <w:rsid w:val="009A0071"/>
    <w:rsid w:val="009A1AD5"/>
    <w:rsid w:val="009A1D14"/>
    <w:rsid w:val="009A2759"/>
    <w:rsid w:val="009A3E55"/>
    <w:rsid w:val="009A4737"/>
    <w:rsid w:val="009A4A3E"/>
    <w:rsid w:val="009A4A59"/>
    <w:rsid w:val="009A4B20"/>
    <w:rsid w:val="009A52B0"/>
    <w:rsid w:val="009A5A0F"/>
    <w:rsid w:val="009A5A17"/>
    <w:rsid w:val="009B096E"/>
    <w:rsid w:val="009B4EF8"/>
    <w:rsid w:val="009B7FEF"/>
    <w:rsid w:val="009C036B"/>
    <w:rsid w:val="009C0BB1"/>
    <w:rsid w:val="009C0F61"/>
    <w:rsid w:val="009C18B1"/>
    <w:rsid w:val="009C6E6B"/>
    <w:rsid w:val="009C70F5"/>
    <w:rsid w:val="009C745E"/>
    <w:rsid w:val="009C76FF"/>
    <w:rsid w:val="009C7977"/>
    <w:rsid w:val="009D07D8"/>
    <w:rsid w:val="009D1112"/>
    <w:rsid w:val="009D4F5B"/>
    <w:rsid w:val="009D657E"/>
    <w:rsid w:val="009E0ACF"/>
    <w:rsid w:val="009E31E2"/>
    <w:rsid w:val="009E32C5"/>
    <w:rsid w:val="009E3A5F"/>
    <w:rsid w:val="009E3B36"/>
    <w:rsid w:val="009E4629"/>
    <w:rsid w:val="009E61B5"/>
    <w:rsid w:val="009F0AE4"/>
    <w:rsid w:val="009F3EB8"/>
    <w:rsid w:val="009F44E4"/>
    <w:rsid w:val="009F517B"/>
    <w:rsid w:val="009F5604"/>
    <w:rsid w:val="009F59AF"/>
    <w:rsid w:val="009F69F9"/>
    <w:rsid w:val="009F6FC0"/>
    <w:rsid w:val="009F7CEA"/>
    <w:rsid w:val="00A00222"/>
    <w:rsid w:val="00A0243B"/>
    <w:rsid w:val="00A02818"/>
    <w:rsid w:val="00A0410C"/>
    <w:rsid w:val="00A042E7"/>
    <w:rsid w:val="00A04F6F"/>
    <w:rsid w:val="00A066DE"/>
    <w:rsid w:val="00A072FE"/>
    <w:rsid w:val="00A11AFC"/>
    <w:rsid w:val="00A1236A"/>
    <w:rsid w:val="00A13A08"/>
    <w:rsid w:val="00A14DDA"/>
    <w:rsid w:val="00A155FD"/>
    <w:rsid w:val="00A16D64"/>
    <w:rsid w:val="00A217A7"/>
    <w:rsid w:val="00A228F6"/>
    <w:rsid w:val="00A23059"/>
    <w:rsid w:val="00A232F6"/>
    <w:rsid w:val="00A235F2"/>
    <w:rsid w:val="00A2384C"/>
    <w:rsid w:val="00A23E9F"/>
    <w:rsid w:val="00A24039"/>
    <w:rsid w:val="00A302F5"/>
    <w:rsid w:val="00A30C21"/>
    <w:rsid w:val="00A32828"/>
    <w:rsid w:val="00A34B1F"/>
    <w:rsid w:val="00A360CB"/>
    <w:rsid w:val="00A3627E"/>
    <w:rsid w:val="00A371F1"/>
    <w:rsid w:val="00A37B41"/>
    <w:rsid w:val="00A37CD8"/>
    <w:rsid w:val="00A4102B"/>
    <w:rsid w:val="00A4153E"/>
    <w:rsid w:val="00A44D14"/>
    <w:rsid w:val="00A44D2D"/>
    <w:rsid w:val="00A44E48"/>
    <w:rsid w:val="00A458D9"/>
    <w:rsid w:val="00A460E0"/>
    <w:rsid w:val="00A4685A"/>
    <w:rsid w:val="00A46E00"/>
    <w:rsid w:val="00A47185"/>
    <w:rsid w:val="00A47449"/>
    <w:rsid w:val="00A47872"/>
    <w:rsid w:val="00A552E2"/>
    <w:rsid w:val="00A55410"/>
    <w:rsid w:val="00A55B96"/>
    <w:rsid w:val="00A574EA"/>
    <w:rsid w:val="00A60FDE"/>
    <w:rsid w:val="00A615B0"/>
    <w:rsid w:val="00A6165A"/>
    <w:rsid w:val="00A622D3"/>
    <w:rsid w:val="00A64756"/>
    <w:rsid w:val="00A66424"/>
    <w:rsid w:val="00A6651E"/>
    <w:rsid w:val="00A67C26"/>
    <w:rsid w:val="00A67D63"/>
    <w:rsid w:val="00A70BC6"/>
    <w:rsid w:val="00A71987"/>
    <w:rsid w:val="00A73845"/>
    <w:rsid w:val="00A74599"/>
    <w:rsid w:val="00A74FEE"/>
    <w:rsid w:val="00A754DB"/>
    <w:rsid w:val="00A756D1"/>
    <w:rsid w:val="00A756DE"/>
    <w:rsid w:val="00A77D5E"/>
    <w:rsid w:val="00A77E75"/>
    <w:rsid w:val="00A80293"/>
    <w:rsid w:val="00A808A5"/>
    <w:rsid w:val="00A80F88"/>
    <w:rsid w:val="00A8120D"/>
    <w:rsid w:val="00A85834"/>
    <w:rsid w:val="00A85AC8"/>
    <w:rsid w:val="00A85E27"/>
    <w:rsid w:val="00A871A2"/>
    <w:rsid w:val="00A87CD7"/>
    <w:rsid w:val="00A90294"/>
    <w:rsid w:val="00A91845"/>
    <w:rsid w:val="00A920BE"/>
    <w:rsid w:val="00A92183"/>
    <w:rsid w:val="00A94B1C"/>
    <w:rsid w:val="00A956DA"/>
    <w:rsid w:val="00A96C8A"/>
    <w:rsid w:val="00A9782C"/>
    <w:rsid w:val="00A97E3B"/>
    <w:rsid w:val="00AA308C"/>
    <w:rsid w:val="00AA36E3"/>
    <w:rsid w:val="00AA4163"/>
    <w:rsid w:val="00AA4F4C"/>
    <w:rsid w:val="00AA52AB"/>
    <w:rsid w:val="00AA5971"/>
    <w:rsid w:val="00AA62FA"/>
    <w:rsid w:val="00AA6E62"/>
    <w:rsid w:val="00AB06AA"/>
    <w:rsid w:val="00AB1575"/>
    <w:rsid w:val="00AB1757"/>
    <w:rsid w:val="00AB1C27"/>
    <w:rsid w:val="00AB384F"/>
    <w:rsid w:val="00AB4472"/>
    <w:rsid w:val="00AB6030"/>
    <w:rsid w:val="00AB6472"/>
    <w:rsid w:val="00AB6AA3"/>
    <w:rsid w:val="00AB703F"/>
    <w:rsid w:val="00AB7371"/>
    <w:rsid w:val="00AB75FC"/>
    <w:rsid w:val="00AB7FF4"/>
    <w:rsid w:val="00AC424C"/>
    <w:rsid w:val="00AC541C"/>
    <w:rsid w:val="00AC6228"/>
    <w:rsid w:val="00AC7015"/>
    <w:rsid w:val="00AD00D7"/>
    <w:rsid w:val="00AD137C"/>
    <w:rsid w:val="00AD1734"/>
    <w:rsid w:val="00AD1D6A"/>
    <w:rsid w:val="00AD1FE2"/>
    <w:rsid w:val="00AD21EE"/>
    <w:rsid w:val="00AD28F1"/>
    <w:rsid w:val="00AD3355"/>
    <w:rsid w:val="00AD41E7"/>
    <w:rsid w:val="00AD7425"/>
    <w:rsid w:val="00AE00C2"/>
    <w:rsid w:val="00AE085C"/>
    <w:rsid w:val="00AE0D65"/>
    <w:rsid w:val="00AE16E2"/>
    <w:rsid w:val="00AE1898"/>
    <w:rsid w:val="00AE1908"/>
    <w:rsid w:val="00AE2132"/>
    <w:rsid w:val="00AE523A"/>
    <w:rsid w:val="00AE55E9"/>
    <w:rsid w:val="00AE5CDA"/>
    <w:rsid w:val="00AE61F5"/>
    <w:rsid w:val="00AE712C"/>
    <w:rsid w:val="00AF267F"/>
    <w:rsid w:val="00AF26F3"/>
    <w:rsid w:val="00AF510F"/>
    <w:rsid w:val="00AF5697"/>
    <w:rsid w:val="00AF572A"/>
    <w:rsid w:val="00AF662B"/>
    <w:rsid w:val="00AF6D4A"/>
    <w:rsid w:val="00B01568"/>
    <w:rsid w:val="00B01F62"/>
    <w:rsid w:val="00B02A8F"/>
    <w:rsid w:val="00B05665"/>
    <w:rsid w:val="00B05D18"/>
    <w:rsid w:val="00B067C0"/>
    <w:rsid w:val="00B07ABA"/>
    <w:rsid w:val="00B1171E"/>
    <w:rsid w:val="00B11B56"/>
    <w:rsid w:val="00B11C4A"/>
    <w:rsid w:val="00B133B6"/>
    <w:rsid w:val="00B133DF"/>
    <w:rsid w:val="00B13784"/>
    <w:rsid w:val="00B140FE"/>
    <w:rsid w:val="00B151DA"/>
    <w:rsid w:val="00B15363"/>
    <w:rsid w:val="00B15621"/>
    <w:rsid w:val="00B161EE"/>
    <w:rsid w:val="00B16716"/>
    <w:rsid w:val="00B16791"/>
    <w:rsid w:val="00B16F39"/>
    <w:rsid w:val="00B17804"/>
    <w:rsid w:val="00B211B1"/>
    <w:rsid w:val="00B22A24"/>
    <w:rsid w:val="00B23E7F"/>
    <w:rsid w:val="00B254D8"/>
    <w:rsid w:val="00B2783E"/>
    <w:rsid w:val="00B27C8F"/>
    <w:rsid w:val="00B302DE"/>
    <w:rsid w:val="00B31640"/>
    <w:rsid w:val="00B3288C"/>
    <w:rsid w:val="00B33193"/>
    <w:rsid w:val="00B351CF"/>
    <w:rsid w:val="00B35AD3"/>
    <w:rsid w:val="00B362D7"/>
    <w:rsid w:val="00B36A7B"/>
    <w:rsid w:val="00B375BF"/>
    <w:rsid w:val="00B379FF"/>
    <w:rsid w:val="00B37F41"/>
    <w:rsid w:val="00B401B4"/>
    <w:rsid w:val="00B41633"/>
    <w:rsid w:val="00B43612"/>
    <w:rsid w:val="00B458C4"/>
    <w:rsid w:val="00B5688D"/>
    <w:rsid w:val="00B57B71"/>
    <w:rsid w:val="00B57DDF"/>
    <w:rsid w:val="00B6343F"/>
    <w:rsid w:val="00B63F54"/>
    <w:rsid w:val="00B65B45"/>
    <w:rsid w:val="00B66599"/>
    <w:rsid w:val="00B668E2"/>
    <w:rsid w:val="00B679AE"/>
    <w:rsid w:val="00B67AA0"/>
    <w:rsid w:val="00B70C8D"/>
    <w:rsid w:val="00B70D46"/>
    <w:rsid w:val="00B71D05"/>
    <w:rsid w:val="00B73856"/>
    <w:rsid w:val="00B74316"/>
    <w:rsid w:val="00B74B18"/>
    <w:rsid w:val="00B76515"/>
    <w:rsid w:val="00B76737"/>
    <w:rsid w:val="00B76D25"/>
    <w:rsid w:val="00B76E9B"/>
    <w:rsid w:val="00B824F0"/>
    <w:rsid w:val="00B831A3"/>
    <w:rsid w:val="00B83B2B"/>
    <w:rsid w:val="00B850D2"/>
    <w:rsid w:val="00B853CF"/>
    <w:rsid w:val="00B85962"/>
    <w:rsid w:val="00B8642B"/>
    <w:rsid w:val="00B86530"/>
    <w:rsid w:val="00B8754B"/>
    <w:rsid w:val="00B87CDE"/>
    <w:rsid w:val="00B903FF"/>
    <w:rsid w:val="00B90D9F"/>
    <w:rsid w:val="00B91B6B"/>
    <w:rsid w:val="00B92CFF"/>
    <w:rsid w:val="00B92F11"/>
    <w:rsid w:val="00B94191"/>
    <w:rsid w:val="00B95B2F"/>
    <w:rsid w:val="00B96362"/>
    <w:rsid w:val="00BA0738"/>
    <w:rsid w:val="00BA1122"/>
    <w:rsid w:val="00BA21CB"/>
    <w:rsid w:val="00BA2E6C"/>
    <w:rsid w:val="00BA3F56"/>
    <w:rsid w:val="00BA5E99"/>
    <w:rsid w:val="00BB00ED"/>
    <w:rsid w:val="00BB066F"/>
    <w:rsid w:val="00BB10F3"/>
    <w:rsid w:val="00BB5057"/>
    <w:rsid w:val="00BB5C00"/>
    <w:rsid w:val="00BB5F90"/>
    <w:rsid w:val="00BC0798"/>
    <w:rsid w:val="00BC0FA5"/>
    <w:rsid w:val="00BC16C7"/>
    <w:rsid w:val="00BC3C60"/>
    <w:rsid w:val="00BC401A"/>
    <w:rsid w:val="00BC4ECE"/>
    <w:rsid w:val="00BC5E06"/>
    <w:rsid w:val="00BC63CA"/>
    <w:rsid w:val="00BC6AFA"/>
    <w:rsid w:val="00BC73C2"/>
    <w:rsid w:val="00BD0145"/>
    <w:rsid w:val="00BD203E"/>
    <w:rsid w:val="00BD4271"/>
    <w:rsid w:val="00BD43CC"/>
    <w:rsid w:val="00BD43DD"/>
    <w:rsid w:val="00BD463F"/>
    <w:rsid w:val="00BD4D51"/>
    <w:rsid w:val="00BD4EC8"/>
    <w:rsid w:val="00BD57B3"/>
    <w:rsid w:val="00BD71B6"/>
    <w:rsid w:val="00BD7B45"/>
    <w:rsid w:val="00BE00A3"/>
    <w:rsid w:val="00BE0587"/>
    <w:rsid w:val="00BE0664"/>
    <w:rsid w:val="00BE13B8"/>
    <w:rsid w:val="00BE2C5F"/>
    <w:rsid w:val="00BE566A"/>
    <w:rsid w:val="00BE639D"/>
    <w:rsid w:val="00BF0608"/>
    <w:rsid w:val="00BF06F2"/>
    <w:rsid w:val="00BF1332"/>
    <w:rsid w:val="00BF1A22"/>
    <w:rsid w:val="00BF2204"/>
    <w:rsid w:val="00BF3587"/>
    <w:rsid w:val="00BF6CB9"/>
    <w:rsid w:val="00BF7A47"/>
    <w:rsid w:val="00BF7EA3"/>
    <w:rsid w:val="00C00A11"/>
    <w:rsid w:val="00C01439"/>
    <w:rsid w:val="00C019DD"/>
    <w:rsid w:val="00C01B46"/>
    <w:rsid w:val="00C01B4D"/>
    <w:rsid w:val="00C01B9B"/>
    <w:rsid w:val="00C01C82"/>
    <w:rsid w:val="00C01FD9"/>
    <w:rsid w:val="00C02091"/>
    <w:rsid w:val="00C02CF3"/>
    <w:rsid w:val="00C02F70"/>
    <w:rsid w:val="00C03374"/>
    <w:rsid w:val="00C069F6"/>
    <w:rsid w:val="00C06A13"/>
    <w:rsid w:val="00C06BFF"/>
    <w:rsid w:val="00C106F1"/>
    <w:rsid w:val="00C115AD"/>
    <w:rsid w:val="00C11DED"/>
    <w:rsid w:val="00C12117"/>
    <w:rsid w:val="00C128DA"/>
    <w:rsid w:val="00C12D77"/>
    <w:rsid w:val="00C13657"/>
    <w:rsid w:val="00C16957"/>
    <w:rsid w:val="00C205D7"/>
    <w:rsid w:val="00C23A1B"/>
    <w:rsid w:val="00C26F1C"/>
    <w:rsid w:val="00C318FD"/>
    <w:rsid w:val="00C32843"/>
    <w:rsid w:val="00C343F7"/>
    <w:rsid w:val="00C34E28"/>
    <w:rsid w:val="00C34E5A"/>
    <w:rsid w:val="00C36F7A"/>
    <w:rsid w:val="00C379F4"/>
    <w:rsid w:val="00C37E93"/>
    <w:rsid w:val="00C40536"/>
    <w:rsid w:val="00C42D7C"/>
    <w:rsid w:val="00C42F21"/>
    <w:rsid w:val="00C434F9"/>
    <w:rsid w:val="00C44679"/>
    <w:rsid w:val="00C45105"/>
    <w:rsid w:val="00C451D0"/>
    <w:rsid w:val="00C45CC9"/>
    <w:rsid w:val="00C464C0"/>
    <w:rsid w:val="00C46666"/>
    <w:rsid w:val="00C4685B"/>
    <w:rsid w:val="00C468CE"/>
    <w:rsid w:val="00C47866"/>
    <w:rsid w:val="00C47B26"/>
    <w:rsid w:val="00C50551"/>
    <w:rsid w:val="00C515B1"/>
    <w:rsid w:val="00C5197E"/>
    <w:rsid w:val="00C52A45"/>
    <w:rsid w:val="00C53640"/>
    <w:rsid w:val="00C551BB"/>
    <w:rsid w:val="00C567D7"/>
    <w:rsid w:val="00C56A51"/>
    <w:rsid w:val="00C57A0D"/>
    <w:rsid w:val="00C57BB6"/>
    <w:rsid w:val="00C60456"/>
    <w:rsid w:val="00C6048E"/>
    <w:rsid w:val="00C613EE"/>
    <w:rsid w:val="00C6169E"/>
    <w:rsid w:val="00C64133"/>
    <w:rsid w:val="00C65631"/>
    <w:rsid w:val="00C658D3"/>
    <w:rsid w:val="00C6684B"/>
    <w:rsid w:val="00C66C2B"/>
    <w:rsid w:val="00C66E88"/>
    <w:rsid w:val="00C67475"/>
    <w:rsid w:val="00C7070A"/>
    <w:rsid w:val="00C707F6"/>
    <w:rsid w:val="00C71332"/>
    <w:rsid w:val="00C71634"/>
    <w:rsid w:val="00C71CCC"/>
    <w:rsid w:val="00C72F9A"/>
    <w:rsid w:val="00C7308F"/>
    <w:rsid w:val="00C77688"/>
    <w:rsid w:val="00C8202C"/>
    <w:rsid w:val="00C84D87"/>
    <w:rsid w:val="00C84FCC"/>
    <w:rsid w:val="00C85D9A"/>
    <w:rsid w:val="00C8654C"/>
    <w:rsid w:val="00C86730"/>
    <w:rsid w:val="00C86D46"/>
    <w:rsid w:val="00C9173E"/>
    <w:rsid w:val="00C91E07"/>
    <w:rsid w:val="00C9238E"/>
    <w:rsid w:val="00C92938"/>
    <w:rsid w:val="00C939B7"/>
    <w:rsid w:val="00C93B61"/>
    <w:rsid w:val="00C93F5C"/>
    <w:rsid w:val="00C94662"/>
    <w:rsid w:val="00C947A9"/>
    <w:rsid w:val="00C9505F"/>
    <w:rsid w:val="00C97C87"/>
    <w:rsid w:val="00CA24BE"/>
    <w:rsid w:val="00CA2F82"/>
    <w:rsid w:val="00CA38BB"/>
    <w:rsid w:val="00CA6ACD"/>
    <w:rsid w:val="00CA7692"/>
    <w:rsid w:val="00CB01B0"/>
    <w:rsid w:val="00CB0D9B"/>
    <w:rsid w:val="00CB110A"/>
    <w:rsid w:val="00CB1833"/>
    <w:rsid w:val="00CB1AD0"/>
    <w:rsid w:val="00CB219B"/>
    <w:rsid w:val="00CB2E68"/>
    <w:rsid w:val="00CB3CDF"/>
    <w:rsid w:val="00CB5155"/>
    <w:rsid w:val="00CC025D"/>
    <w:rsid w:val="00CC1481"/>
    <w:rsid w:val="00CC1520"/>
    <w:rsid w:val="00CC1620"/>
    <w:rsid w:val="00CC1F6E"/>
    <w:rsid w:val="00CC4D5E"/>
    <w:rsid w:val="00CC6B56"/>
    <w:rsid w:val="00CC6E5D"/>
    <w:rsid w:val="00CC785D"/>
    <w:rsid w:val="00CD0565"/>
    <w:rsid w:val="00CD15F4"/>
    <w:rsid w:val="00CD2958"/>
    <w:rsid w:val="00CD3359"/>
    <w:rsid w:val="00CD34C0"/>
    <w:rsid w:val="00CD57A3"/>
    <w:rsid w:val="00CD6F3C"/>
    <w:rsid w:val="00CE045A"/>
    <w:rsid w:val="00CE1FE1"/>
    <w:rsid w:val="00CE2195"/>
    <w:rsid w:val="00CE4F93"/>
    <w:rsid w:val="00CE56A2"/>
    <w:rsid w:val="00CE70BC"/>
    <w:rsid w:val="00CE7D5E"/>
    <w:rsid w:val="00CF0C91"/>
    <w:rsid w:val="00CF0E38"/>
    <w:rsid w:val="00CF1F20"/>
    <w:rsid w:val="00CF1F6D"/>
    <w:rsid w:val="00CF2761"/>
    <w:rsid w:val="00CF27C9"/>
    <w:rsid w:val="00CF3626"/>
    <w:rsid w:val="00CF3817"/>
    <w:rsid w:val="00CF5328"/>
    <w:rsid w:val="00CF7401"/>
    <w:rsid w:val="00D0063C"/>
    <w:rsid w:val="00D00CCB"/>
    <w:rsid w:val="00D01F4D"/>
    <w:rsid w:val="00D02198"/>
    <w:rsid w:val="00D03806"/>
    <w:rsid w:val="00D03C7E"/>
    <w:rsid w:val="00D041DE"/>
    <w:rsid w:val="00D0524A"/>
    <w:rsid w:val="00D05C4E"/>
    <w:rsid w:val="00D111B0"/>
    <w:rsid w:val="00D1223E"/>
    <w:rsid w:val="00D1234A"/>
    <w:rsid w:val="00D12637"/>
    <w:rsid w:val="00D130A4"/>
    <w:rsid w:val="00D136C6"/>
    <w:rsid w:val="00D14059"/>
    <w:rsid w:val="00D14886"/>
    <w:rsid w:val="00D2162A"/>
    <w:rsid w:val="00D23438"/>
    <w:rsid w:val="00D23F67"/>
    <w:rsid w:val="00D24986"/>
    <w:rsid w:val="00D25085"/>
    <w:rsid w:val="00D25F72"/>
    <w:rsid w:val="00D32BF3"/>
    <w:rsid w:val="00D33633"/>
    <w:rsid w:val="00D34799"/>
    <w:rsid w:val="00D34C38"/>
    <w:rsid w:val="00D35D85"/>
    <w:rsid w:val="00D36114"/>
    <w:rsid w:val="00D40665"/>
    <w:rsid w:val="00D41924"/>
    <w:rsid w:val="00D41CC8"/>
    <w:rsid w:val="00D41D4E"/>
    <w:rsid w:val="00D42BBB"/>
    <w:rsid w:val="00D437BC"/>
    <w:rsid w:val="00D43F38"/>
    <w:rsid w:val="00D44A11"/>
    <w:rsid w:val="00D46201"/>
    <w:rsid w:val="00D46472"/>
    <w:rsid w:val="00D5029B"/>
    <w:rsid w:val="00D504C3"/>
    <w:rsid w:val="00D5157D"/>
    <w:rsid w:val="00D516BF"/>
    <w:rsid w:val="00D51EB3"/>
    <w:rsid w:val="00D52588"/>
    <w:rsid w:val="00D52630"/>
    <w:rsid w:val="00D54113"/>
    <w:rsid w:val="00D5442E"/>
    <w:rsid w:val="00D54C40"/>
    <w:rsid w:val="00D5506D"/>
    <w:rsid w:val="00D56129"/>
    <w:rsid w:val="00D561C0"/>
    <w:rsid w:val="00D56AEA"/>
    <w:rsid w:val="00D56BDE"/>
    <w:rsid w:val="00D56BF7"/>
    <w:rsid w:val="00D57B82"/>
    <w:rsid w:val="00D60E50"/>
    <w:rsid w:val="00D6143D"/>
    <w:rsid w:val="00D62283"/>
    <w:rsid w:val="00D62B32"/>
    <w:rsid w:val="00D64EF6"/>
    <w:rsid w:val="00D652ED"/>
    <w:rsid w:val="00D65387"/>
    <w:rsid w:val="00D713A1"/>
    <w:rsid w:val="00D71566"/>
    <w:rsid w:val="00D71F35"/>
    <w:rsid w:val="00D73B6A"/>
    <w:rsid w:val="00D75731"/>
    <w:rsid w:val="00D75F99"/>
    <w:rsid w:val="00D76776"/>
    <w:rsid w:val="00D779BF"/>
    <w:rsid w:val="00D82359"/>
    <w:rsid w:val="00D8237A"/>
    <w:rsid w:val="00D82565"/>
    <w:rsid w:val="00D83819"/>
    <w:rsid w:val="00D8412E"/>
    <w:rsid w:val="00D872D9"/>
    <w:rsid w:val="00D87E92"/>
    <w:rsid w:val="00D904A0"/>
    <w:rsid w:val="00D90660"/>
    <w:rsid w:val="00D90BF9"/>
    <w:rsid w:val="00D90CA1"/>
    <w:rsid w:val="00D91761"/>
    <w:rsid w:val="00D92053"/>
    <w:rsid w:val="00D93436"/>
    <w:rsid w:val="00D93835"/>
    <w:rsid w:val="00D96052"/>
    <w:rsid w:val="00D96B3B"/>
    <w:rsid w:val="00D972ED"/>
    <w:rsid w:val="00D97445"/>
    <w:rsid w:val="00D97E94"/>
    <w:rsid w:val="00DA08D6"/>
    <w:rsid w:val="00DA0955"/>
    <w:rsid w:val="00DA1C85"/>
    <w:rsid w:val="00DA27D6"/>
    <w:rsid w:val="00DA2DAC"/>
    <w:rsid w:val="00DA4B28"/>
    <w:rsid w:val="00DA515D"/>
    <w:rsid w:val="00DA62C3"/>
    <w:rsid w:val="00DA64F4"/>
    <w:rsid w:val="00DA7021"/>
    <w:rsid w:val="00DA77AF"/>
    <w:rsid w:val="00DB01AA"/>
    <w:rsid w:val="00DB083C"/>
    <w:rsid w:val="00DB0D24"/>
    <w:rsid w:val="00DB13AF"/>
    <w:rsid w:val="00DB2018"/>
    <w:rsid w:val="00DB260A"/>
    <w:rsid w:val="00DB27BD"/>
    <w:rsid w:val="00DB338F"/>
    <w:rsid w:val="00DB3490"/>
    <w:rsid w:val="00DB3761"/>
    <w:rsid w:val="00DB3853"/>
    <w:rsid w:val="00DB3E0B"/>
    <w:rsid w:val="00DB3F26"/>
    <w:rsid w:val="00DB40CF"/>
    <w:rsid w:val="00DB426C"/>
    <w:rsid w:val="00DB4CB5"/>
    <w:rsid w:val="00DB4EEE"/>
    <w:rsid w:val="00DB60E1"/>
    <w:rsid w:val="00DB636C"/>
    <w:rsid w:val="00DB6B8F"/>
    <w:rsid w:val="00DB7206"/>
    <w:rsid w:val="00DC09A0"/>
    <w:rsid w:val="00DC23C1"/>
    <w:rsid w:val="00DC23FE"/>
    <w:rsid w:val="00DC2511"/>
    <w:rsid w:val="00DC2612"/>
    <w:rsid w:val="00DC36DE"/>
    <w:rsid w:val="00DC3A02"/>
    <w:rsid w:val="00DC3A15"/>
    <w:rsid w:val="00DC3E40"/>
    <w:rsid w:val="00DC51FA"/>
    <w:rsid w:val="00DC5919"/>
    <w:rsid w:val="00DC6375"/>
    <w:rsid w:val="00DC70EC"/>
    <w:rsid w:val="00DC79DF"/>
    <w:rsid w:val="00DD004B"/>
    <w:rsid w:val="00DD00AA"/>
    <w:rsid w:val="00DD1669"/>
    <w:rsid w:val="00DD1CEE"/>
    <w:rsid w:val="00DD1EAB"/>
    <w:rsid w:val="00DD2338"/>
    <w:rsid w:val="00DD249F"/>
    <w:rsid w:val="00DD2782"/>
    <w:rsid w:val="00DD35E0"/>
    <w:rsid w:val="00DD4AFF"/>
    <w:rsid w:val="00DD5C87"/>
    <w:rsid w:val="00DD63A4"/>
    <w:rsid w:val="00DE00CC"/>
    <w:rsid w:val="00DE107A"/>
    <w:rsid w:val="00DE1159"/>
    <w:rsid w:val="00DE1AF7"/>
    <w:rsid w:val="00DE1D29"/>
    <w:rsid w:val="00DE1EAE"/>
    <w:rsid w:val="00DE2486"/>
    <w:rsid w:val="00DE2691"/>
    <w:rsid w:val="00DE4598"/>
    <w:rsid w:val="00DE4AC7"/>
    <w:rsid w:val="00DE4CFD"/>
    <w:rsid w:val="00DE69EA"/>
    <w:rsid w:val="00DE7512"/>
    <w:rsid w:val="00DE7A7C"/>
    <w:rsid w:val="00DF0803"/>
    <w:rsid w:val="00DF2892"/>
    <w:rsid w:val="00DF4C54"/>
    <w:rsid w:val="00DF762D"/>
    <w:rsid w:val="00E00B06"/>
    <w:rsid w:val="00E011AF"/>
    <w:rsid w:val="00E025F7"/>
    <w:rsid w:val="00E02DC2"/>
    <w:rsid w:val="00E03A59"/>
    <w:rsid w:val="00E05374"/>
    <w:rsid w:val="00E057DE"/>
    <w:rsid w:val="00E07A8F"/>
    <w:rsid w:val="00E07BD5"/>
    <w:rsid w:val="00E10EE4"/>
    <w:rsid w:val="00E1261E"/>
    <w:rsid w:val="00E12F46"/>
    <w:rsid w:val="00E13580"/>
    <w:rsid w:val="00E138A6"/>
    <w:rsid w:val="00E15199"/>
    <w:rsid w:val="00E15382"/>
    <w:rsid w:val="00E15472"/>
    <w:rsid w:val="00E15968"/>
    <w:rsid w:val="00E1605A"/>
    <w:rsid w:val="00E162E0"/>
    <w:rsid w:val="00E16A90"/>
    <w:rsid w:val="00E17C86"/>
    <w:rsid w:val="00E200A8"/>
    <w:rsid w:val="00E20179"/>
    <w:rsid w:val="00E2044E"/>
    <w:rsid w:val="00E20965"/>
    <w:rsid w:val="00E20E4C"/>
    <w:rsid w:val="00E211B6"/>
    <w:rsid w:val="00E2379D"/>
    <w:rsid w:val="00E23A99"/>
    <w:rsid w:val="00E24199"/>
    <w:rsid w:val="00E244C0"/>
    <w:rsid w:val="00E25A59"/>
    <w:rsid w:val="00E25E7F"/>
    <w:rsid w:val="00E264E9"/>
    <w:rsid w:val="00E27D63"/>
    <w:rsid w:val="00E300CC"/>
    <w:rsid w:val="00E30364"/>
    <w:rsid w:val="00E31849"/>
    <w:rsid w:val="00E32EE0"/>
    <w:rsid w:val="00E343BC"/>
    <w:rsid w:val="00E34EB3"/>
    <w:rsid w:val="00E411DB"/>
    <w:rsid w:val="00E41388"/>
    <w:rsid w:val="00E41D74"/>
    <w:rsid w:val="00E4206E"/>
    <w:rsid w:val="00E43C40"/>
    <w:rsid w:val="00E45D17"/>
    <w:rsid w:val="00E466A1"/>
    <w:rsid w:val="00E5010E"/>
    <w:rsid w:val="00E5020F"/>
    <w:rsid w:val="00E53A21"/>
    <w:rsid w:val="00E54012"/>
    <w:rsid w:val="00E558F4"/>
    <w:rsid w:val="00E565B5"/>
    <w:rsid w:val="00E57901"/>
    <w:rsid w:val="00E57DDD"/>
    <w:rsid w:val="00E60968"/>
    <w:rsid w:val="00E609C9"/>
    <w:rsid w:val="00E60CE4"/>
    <w:rsid w:val="00E62F1C"/>
    <w:rsid w:val="00E6423F"/>
    <w:rsid w:val="00E646D7"/>
    <w:rsid w:val="00E64E0C"/>
    <w:rsid w:val="00E650A3"/>
    <w:rsid w:val="00E6535F"/>
    <w:rsid w:val="00E671D4"/>
    <w:rsid w:val="00E67751"/>
    <w:rsid w:val="00E737BB"/>
    <w:rsid w:val="00E74EDD"/>
    <w:rsid w:val="00E75575"/>
    <w:rsid w:val="00E756A9"/>
    <w:rsid w:val="00E76F9D"/>
    <w:rsid w:val="00E7759E"/>
    <w:rsid w:val="00E803E7"/>
    <w:rsid w:val="00E80E2D"/>
    <w:rsid w:val="00E8190E"/>
    <w:rsid w:val="00E81B33"/>
    <w:rsid w:val="00E822E8"/>
    <w:rsid w:val="00E85573"/>
    <w:rsid w:val="00E867E9"/>
    <w:rsid w:val="00E8778A"/>
    <w:rsid w:val="00E9034A"/>
    <w:rsid w:val="00E90B79"/>
    <w:rsid w:val="00E92A73"/>
    <w:rsid w:val="00E92B9C"/>
    <w:rsid w:val="00E93D70"/>
    <w:rsid w:val="00E94CDF"/>
    <w:rsid w:val="00E951A1"/>
    <w:rsid w:val="00E951ED"/>
    <w:rsid w:val="00E9607F"/>
    <w:rsid w:val="00E96159"/>
    <w:rsid w:val="00EA0E42"/>
    <w:rsid w:val="00EA23A0"/>
    <w:rsid w:val="00EA2A59"/>
    <w:rsid w:val="00EA3193"/>
    <w:rsid w:val="00EA3E9E"/>
    <w:rsid w:val="00EA5451"/>
    <w:rsid w:val="00EA56CC"/>
    <w:rsid w:val="00EA5B71"/>
    <w:rsid w:val="00EA62F9"/>
    <w:rsid w:val="00EA6328"/>
    <w:rsid w:val="00EB0561"/>
    <w:rsid w:val="00EB24CE"/>
    <w:rsid w:val="00EB3E47"/>
    <w:rsid w:val="00EB3E70"/>
    <w:rsid w:val="00EB5641"/>
    <w:rsid w:val="00EB7876"/>
    <w:rsid w:val="00EC0507"/>
    <w:rsid w:val="00EC0D57"/>
    <w:rsid w:val="00EC14DF"/>
    <w:rsid w:val="00EC18C7"/>
    <w:rsid w:val="00EC3D34"/>
    <w:rsid w:val="00EC4E49"/>
    <w:rsid w:val="00EC5299"/>
    <w:rsid w:val="00EC5FF2"/>
    <w:rsid w:val="00EC67A6"/>
    <w:rsid w:val="00ED01B5"/>
    <w:rsid w:val="00ED080D"/>
    <w:rsid w:val="00ED0E9B"/>
    <w:rsid w:val="00ED27C0"/>
    <w:rsid w:val="00ED3435"/>
    <w:rsid w:val="00ED3ACD"/>
    <w:rsid w:val="00ED4E25"/>
    <w:rsid w:val="00ED58FE"/>
    <w:rsid w:val="00ED5DD4"/>
    <w:rsid w:val="00ED61C3"/>
    <w:rsid w:val="00ED7032"/>
    <w:rsid w:val="00ED736B"/>
    <w:rsid w:val="00ED779A"/>
    <w:rsid w:val="00EE1068"/>
    <w:rsid w:val="00EE1AD9"/>
    <w:rsid w:val="00EE2395"/>
    <w:rsid w:val="00EE3322"/>
    <w:rsid w:val="00EE4336"/>
    <w:rsid w:val="00EE4AE5"/>
    <w:rsid w:val="00EE5A7F"/>
    <w:rsid w:val="00EF1A16"/>
    <w:rsid w:val="00EF3363"/>
    <w:rsid w:val="00EF3A1F"/>
    <w:rsid w:val="00EF406C"/>
    <w:rsid w:val="00EF54E0"/>
    <w:rsid w:val="00EF59A6"/>
    <w:rsid w:val="00EF65E3"/>
    <w:rsid w:val="00EF6CE6"/>
    <w:rsid w:val="00EF72E0"/>
    <w:rsid w:val="00F00099"/>
    <w:rsid w:val="00F00FBE"/>
    <w:rsid w:val="00F02B2B"/>
    <w:rsid w:val="00F03F4E"/>
    <w:rsid w:val="00F056B4"/>
    <w:rsid w:val="00F0763C"/>
    <w:rsid w:val="00F1170F"/>
    <w:rsid w:val="00F11DFB"/>
    <w:rsid w:val="00F1271A"/>
    <w:rsid w:val="00F13018"/>
    <w:rsid w:val="00F130CC"/>
    <w:rsid w:val="00F13492"/>
    <w:rsid w:val="00F15421"/>
    <w:rsid w:val="00F15802"/>
    <w:rsid w:val="00F15B6B"/>
    <w:rsid w:val="00F22042"/>
    <w:rsid w:val="00F22477"/>
    <w:rsid w:val="00F23F70"/>
    <w:rsid w:val="00F249DF"/>
    <w:rsid w:val="00F262B5"/>
    <w:rsid w:val="00F266F0"/>
    <w:rsid w:val="00F31E42"/>
    <w:rsid w:val="00F3207F"/>
    <w:rsid w:val="00F32BCF"/>
    <w:rsid w:val="00F32F8F"/>
    <w:rsid w:val="00F3300F"/>
    <w:rsid w:val="00F33B6F"/>
    <w:rsid w:val="00F342DD"/>
    <w:rsid w:val="00F34713"/>
    <w:rsid w:val="00F34AC4"/>
    <w:rsid w:val="00F34FCB"/>
    <w:rsid w:val="00F3606A"/>
    <w:rsid w:val="00F3625C"/>
    <w:rsid w:val="00F36D48"/>
    <w:rsid w:val="00F36DED"/>
    <w:rsid w:val="00F4009C"/>
    <w:rsid w:val="00F402FA"/>
    <w:rsid w:val="00F4041C"/>
    <w:rsid w:val="00F41CB6"/>
    <w:rsid w:val="00F41F9A"/>
    <w:rsid w:val="00F421F9"/>
    <w:rsid w:val="00F424CD"/>
    <w:rsid w:val="00F427E5"/>
    <w:rsid w:val="00F42DFE"/>
    <w:rsid w:val="00F4423D"/>
    <w:rsid w:val="00F44291"/>
    <w:rsid w:val="00F44ADC"/>
    <w:rsid w:val="00F452F3"/>
    <w:rsid w:val="00F45CD7"/>
    <w:rsid w:val="00F526DB"/>
    <w:rsid w:val="00F52881"/>
    <w:rsid w:val="00F534A8"/>
    <w:rsid w:val="00F5442F"/>
    <w:rsid w:val="00F554FD"/>
    <w:rsid w:val="00F569D4"/>
    <w:rsid w:val="00F57B5E"/>
    <w:rsid w:val="00F60F2F"/>
    <w:rsid w:val="00F61D57"/>
    <w:rsid w:val="00F62D75"/>
    <w:rsid w:val="00F64CEE"/>
    <w:rsid w:val="00F65069"/>
    <w:rsid w:val="00F65E52"/>
    <w:rsid w:val="00F66243"/>
    <w:rsid w:val="00F66CF2"/>
    <w:rsid w:val="00F67FEE"/>
    <w:rsid w:val="00F70535"/>
    <w:rsid w:val="00F70540"/>
    <w:rsid w:val="00F70734"/>
    <w:rsid w:val="00F71742"/>
    <w:rsid w:val="00F72434"/>
    <w:rsid w:val="00F74AA5"/>
    <w:rsid w:val="00F75CC8"/>
    <w:rsid w:val="00F76CA2"/>
    <w:rsid w:val="00F800F3"/>
    <w:rsid w:val="00F82C59"/>
    <w:rsid w:val="00F83AFE"/>
    <w:rsid w:val="00F83D09"/>
    <w:rsid w:val="00F84C2C"/>
    <w:rsid w:val="00F86682"/>
    <w:rsid w:val="00F91CF6"/>
    <w:rsid w:val="00F92586"/>
    <w:rsid w:val="00F928A2"/>
    <w:rsid w:val="00F9303A"/>
    <w:rsid w:val="00F939A8"/>
    <w:rsid w:val="00F93A52"/>
    <w:rsid w:val="00F94D6D"/>
    <w:rsid w:val="00F95640"/>
    <w:rsid w:val="00F96707"/>
    <w:rsid w:val="00F96E41"/>
    <w:rsid w:val="00FA019B"/>
    <w:rsid w:val="00FA20F6"/>
    <w:rsid w:val="00FA3724"/>
    <w:rsid w:val="00FA3E2B"/>
    <w:rsid w:val="00FA5F83"/>
    <w:rsid w:val="00FA6433"/>
    <w:rsid w:val="00FB057B"/>
    <w:rsid w:val="00FB111D"/>
    <w:rsid w:val="00FB2FD9"/>
    <w:rsid w:val="00FB35C7"/>
    <w:rsid w:val="00FB3875"/>
    <w:rsid w:val="00FB57F9"/>
    <w:rsid w:val="00FB74F8"/>
    <w:rsid w:val="00FC304F"/>
    <w:rsid w:val="00FC3407"/>
    <w:rsid w:val="00FC39FD"/>
    <w:rsid w:val="00FC3B5D"/>
    <w:rsid w:val="00FC50F8"/>
    <w:rsid w:val="00FC57A5"/>
    <w:rsid w:val="00FC5A99"/>
    <w:rsid w:val="00FC5BC4"/>
    <w:rsid w:val="00FC5DCD"/>
    <w:rsid w:val="00FC60F4"/>
    <w:rsid w:val="00FC6833"/>
    <w:rsid w:val="00FC7E85"/>
    <w:rsid w:val="00FD00B5"/>
    <w:rsid w:val="00FD035D"/>
    <w:rsid w:val="00FD0965"/>
    <w:rsid w:val="00FD179E"/>
    <w:rsid w:val="00FD19AD"/>
    <w:rsid w:val="00FD3B83"/>
    <w:rsid w:val="00FD58F5"/>
    <w:rsid w:val="00FD71E4"/>
    <w:rsid w:val="00FE129C"/>
    <w:rsid w:val="00FE164C"/>
    <w:rsid w:val="00FE2F55"/>
    <w:rsid w:val="00FE5573"/>
    <w:rsid w:val="00FE5659"/>
    <w:rsid w:val="00FE7B72"/>
    <w:rsid w:val="00FE7DF7"/>
    <w:rsid w:val="00FF072D"/>
    <w:rsid w:val="00FF1020"/>
    <w:rsid w:val="00FF19FD"/>
    <w:rsid w:val="00FF3CF6"/>
    <w:rsid w:val="00FF5C2F"/>
    <w:rsid w:val="00FF600D"/>
    <w:rsid w:val="00FF6B9A"/>
    <w:rsid w:val="00FF6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B59A"/>
  <w15:docId w15:val="{D2F23086-3510-4358-9CAB-B653AB9E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34"/>
    <w:pPr>
      <w:spacing w:after="120"/>
    </w:pPr>
    <w:rPr>
      <w:sz w:val="17"/>
      <w:szCs w:val="22"/>
      <w:lang w:val="en-GB"/>
    </w:rPr>
  </w:style>
  <w:style w:type="paragraph" w:styleId="Heading1">
    <w:name w:val="heading 1"/>
    <w:basedOn w:val="Normal"/>
    <w:next w:val="BodyText"/>
    <w:link w:val="Heading1Char"/>
    <w:qFormat/>
    <w:rsid w:val="0070600A"/>
    <w:pPr>
      <w:keepNext/>
      <w:pBdr>
        <w:bottom w:val="single" w:sz="4" w:space="1" w:color="002A5E"/>
      </w:pBdr>
      <w:tabs>
        <w:tab w:val="left" w:pos="1736"/>
      </w:tabs>
      <w:spacing w:after="240"/>
      <w:outlineLvl w:val="0"/>
    </w:pPr>
    <w:rPr>
      <w:rFonts w:ascii="Schroders Circular TT" w:eastAsia="Times New Roman" w:hAnsi="Schroders Circular TT" w:cs="Arial"/>
      <w:bCs/>
      <w:color w:val="002A5E"/>
      <w:kern w:val="32"/>
      <w:sz w:val="32"/>
      <w:szCs w:val="32"/>
    </w:rPr>
  </w:style>
  <w:style w:type="paragraph" w:styleId="Heading2">
    <w:name w:val="heading 2"/>
    <w:basedOn w:val="Normal"/>
    <w:next w:val="BodyText"/>
    <w:link w:val="Heading2Char"/>
    <w:qFormat/>
    <w:rsid w:val="00C06A13"/>
    <w:pPr>
      <w:keepNext/>
      <w:tabs>
        <w:tab w:val="left" w:pos="1736"/>
      </w:tabs>
      <w:spacing w:before="120"/>
      <w:outlineLvl w:val="1"/>
    </w:pPr>
    <w:rPr>
      <w:rFonts w:ascii="Schroders Circular TT" w:eastAsia="Times New Roman" w:hAnsi="Schroders Circular TT" w:cs="Arial"/>
      <w:bCs/>
      <w:iCs/>
      <w:color w:val="0074B7"/>
      <w:sz w:val="28"/>
      <w:szCs w:val="28"/>
    </w:rPr>
  </w:style>
  <w:style w:type="paragraph" w:styleId="Heading3">
    <w:name w:val="heading 3"/>
    <w:basedOn w:val="Normal"/>
    <w:next w:val="BodyText"/>
    <w:link w:val="Heading3Char"/>
    <w:autoRedefine/>
    <w:qFormat/>
    <w:rsid w:val="0025123E"/>
    <w:pPr>
      <w:keepNext/>
      <w:spacing w:before="120"/>
      <w:outlineLvl w:val="2"/>
    </w:pPr>
    <w:rPr>
      <w:rFonts w:ascii="Schroders Circular TT" w:eastAsia="Times New Roman" w:hAnsi="Schroders Circular TT" w:cs="Arial"/>
      <w:bCs/>
      <w:color w:val="002A5E"/>
      <w:spacing w:val="-6"/>
      <w:sz w:val="24"/>
      <w:lang w:eastAsia="ja-JP"/>
    </w:rPr>
  </w:style>
  <w:style w:type="paragraph" w:styleId="Heading4">
    <w:name w:val="heading 4"/>
    <w:basedOn w:val="Normal"/>
    <w:next w:val="BodyText"/>
    <w:link w:val="Heading4Char"/>
    <w:uiPriority w:val="9"/>
    <w:unhideWhenUsed/>
    <w:qFormat/>
    <w:rsid w:val="0025123E"/>
    <w:pPr>
      <w:keepNext/>
      <w:keepLines/>
      <w:spacing w:before="200" w:after="0"/>
      <w:outlineLvl w:val="3"/>
    </w:pPr>
    <w:rPr>
      <w:rFonts w:ascii="Schroders Circular TT" w:eastAsia="Times New Roman" w:hAnsi="Schroders Circular TT"/>
      <w:b/>
      <w:bCs/>
      <w:iCs/>
      <w:color w:val="002A5E"/>
    </w:rPr>
  </w:style>
  <w:style w:type="paragraph" w:styleId="Heading5">
    <w:name w:val="heading 5"/>
    <w:basedOn w:val="Normal"/>
    <w:next w:val="Normal"/>
    <w:link w:val="Heading5Char"/>
    <w:uiPriority w:val="9"/>
    <w:unhideWhenUsed/>
    <w:qFormat/>
    <w:rsid w:val="00850E0B"/>
    <w:pPr>
      <w:keepNext/>
      <w:keepLines/>
      <w:spacing w:before="200" w:after="0"/>
      <w:outlineLvl w:val="4"/>
    </w:pPr>
    <w:rPr>
      <w:rFonts w:ascii="Schroders Circular TT" w:eastAsia="Times New Roman" w:hAnsi="Schroders Circular TT"/>
      <w:color w:val="0014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B52"/>
    <w:pPr>
      <w:tabs>
        <w:tab w:val="center" w:pos="4513"/>
        <w:tab w:val="right" w:pos="9026"/>
      </w:tabs>
      <w:spacing w:after="0"/>
    </w:pPr>
  </w:style>
  <w:style w:type="character" w:customStyle="1" w:styleId="HeaderChar">
    <w:name w:val="Header Char"/>
    <w:link w:val="Header"/>
    <w:uiPriority w:val="99"/>
    <w:rsid w:val="00215B52"/>
    <w:rPr>
      <w:rFonts w:ascii="Noto Sans" w:hAnsi="Noto Sans"/>
      <w:sz w:val="16"/>
    </w:rPr>
  </w:style>
  <w:style w:type="paragraph" w:styleId="Footer">
    <w:name w:val="footer"/>
    <w:basedOn w:val="Normal"/>
    <w:link w:val="FooterChar"/>
    <w:uiPriority w:val="99"/>
    <w:unhideWhenUsed/>
    <w:qFormat/>
    <w:rsid w:val="00850E0B"/>
    <w:pPr>
      <w:spacing w:after="0"/>
    </w:pPr>
    <w:rPr>
      <w:rFonts w:eastAsia="Times New Roman"/>
      <w:sz w:val="14"/>
      <w:szCs w:val="24"/>
    </w:rPr>
  </w:style>
  <w:style w:type="character" w:customStyle="1" w:styleId="FooterChar">
    <w:name w:val="Footer Char"/>
    <w:link w:val="Footer"/>
    <w:uiPriority w:val="99"/>
    <w:rsid w:val="00850E0B"/>
    <w:rPr>
      <w:rFonts w:ascii="Noto Sans" w:eastAsia="Times New Roman" w:hAnsi="Noto Sans" w:cs="Times New Roman"/>
      <w:sz w:val="14"/>
      <w:szCs w:val="24"/>
    </w:rPr>
  </w:style>
  <w:style w:type="paragraph" w:customStyle="1" w:styleId="Mastheadsubtitle">
    <w:name w:val="Masthead subtitle"/>
    <w:basedOn w:val="Normal"/>
    <w:next w:val="MastheadSmallSubtitle"/>
    <w:qFormat/>
    <w:rsid w:val="00917433"/>
    <w:pPr>
      <w:spacing w:before="20" w:after="20"/>
    </w:pPr>
    <w:rPr>
      <w:rFonts w:ascii="Schroders Circular TT" w:hAnsi="Schroders Circular TT"/>
      <w:color w:val="FFFFFF"/>
      <w:sz w:val="44"/>
    </w:rPr>
  </w:style>
  <w:style w:type="paragraph" w:customStyle="1" w:styleId="MastheadSmallSubtitle">
    <w:name w:val="Masthead Small Subtitle"/>
    <w:basedOn w:val="Mastheadsubtitle"/>
    <w:next w:val="BodyText"/>
    <w:qFormat/>
    <w:rsid w:val="00DE4598"/>
    <w:pPr>
      <w:spacing w:before="60" w:after="60"/>
    </w:pPr>
    <w:rPr>
      <w:b/>
      <w:sz w:val="24"/>
    </w:rPr>
  </w:style>
  <w:style w:type="character" w:customStyle="1" w:styleId="Heading1Char">
    <w:name w:val="Heading 1 Char"/>
    <w:link w:val="Heading1"/>
    <w:rsid w:val="0070600A"/>
    <w:rPr>
      <w:rFonts w:ascii="Schroders Circular TT" w:eastAsia="Times New Roman" w:hAnsi="Schroders Circular TT" w:cs="Arial"/>
      <w:bCs/>
      <w:color w:val="002A5E"/>
      <w:kern w:val="32"/>
      <w:sz w:val="32"/>
      <w:szCs w:val="32"/>
    </w:rPr>
  </w:style>
  <w:style w:type="character" w:customStyle="1" w:styleId="Heading2Char">
    <w:name w:val="Heading 2 Char"/>
    <w:link w:val="Heading2"/>
    <w:rsid w:val="00C06A13"/>
    <w:rPr>
      <w:rFonts w:ascii="Schroders Circular TT" w:eastAsia="Times New Roman" w:hAnsi="Schroders Circular TT" w:cs="Arial"/>
      <w:bCs/>
      <w:iCs/>
      <w:color w:val="0074B7"/>
      <w:sz w:val="28"/>
      <w:szCs w:val="28"/>
    </w:rPr>
  </w:style>
  <w:style w:type="character" w:customStyle="1" w:styleId="Heading3Char">
    <w:name w:val="Heading 3 Char"/>
    <w:link w:val="Heading3"/>
    <w:rsid w:val="0025123E"/>
    <w:rPr>
      <w:rFonts w:ascii="Schroders Circular TT" w:eastAsia="Times New Roman" w:hAnsi="Schroders Circular TT" w:cs="Arial"/>
      <w:bCs/>
      <w:color w:val="002A5E"/>
      <w:spacing w:val="-6"/>
      <w:sz w:val="24"/>
      <w:lang w:eastAsia="ja-JP"/>
    </w:rPr>
  </w:style>
  <w:style w:type="character" w:customStyle="1" w:styleId="Heading4Char">
    <w:name w:val="Heading 4 Char"/>
    <w:link w:val="Heading4"/>
    <w:uiPriority w:val="9"/>
    <w:rsid w:val="0025123E"/>
    <w:rPr>
      <w:rFonts w:ascii="Schroders Circular TT" w:eastAsia="Times New Roman" w:hAnsi="Schroders Circular TT" w:cs="Times New Roman"/>
      <w:b/>
      <w:bCs/>
      <w:iCs/>
      <w:color w:val="002A5E"/>
      <w:sz w:val="16"/>
    </w:rPr>
  </w:style>
  <w:style w:type="paragraph" w:styleId="BodyText">
    <w:name w:val="Body Text"/>
    <w:basedOn w:val="Normal"/>
    <w:link w:val="BodyTextChar"/>
    <w:uiPriority w:val="99"/>
    <w:unhideWhenUsed/>
    <w:rsid w:val="00F1271A"/>
  </w:style>
  <w:style w:type="character" w:customStyle="1" w:styleId="BodyTextChar">
    <w:name w:val="Body Text Char"/>
    <w:link w:val="BodyText"/>
    <w:uiPriority w:val="99"/>
    <w:rsid w:val="00F1271A"/>
    <w:rPr>
      <w:sz w:val="17"/>
    </w:rPr>
  </w:style>
  <w:style w:type="paragraph" w:styleId="ListBullet">
    <w:name w:val="List Bullet"/>
    <w:basedOn w:val="Normal"/>
    <w:uiPriority w:val="99"/>
    <w:unhideWhenUsed/>
    <w:rsid w:val="00F75CC8"/>
    <w:pPr>
      <w:numPr>
        <w:numId w:val="1"/>
      </w:numPr>
      <w:spacing w:after="40"/>
      <w:ind w:left="227" w:hanging="227"/>
    </w:pPr>
  </w:style>
  <w:style w:type="paragraph" w:styleId="ListBullet2">
    <w:name w:val="List Bullet 2"/>
    <w:basedOn w:val="Normal"/>
    <w:uiPriority w:val="99"/>
    <w:unhideWhenUsed/>
    <w:rsid w:val="00E64E0C"/>
    <w:pPr>
      <w:numPr>
        <w:numId w:val="2"/>
      </w:numPr>
      <w:ind w:left="454" w:hanging="227"/>
      <w:contextualSpacing/>
    </w:pPr>
  </w:style>
  <w:style w:type="paragraph" w:styleId="ListBullet3">
    <w:name w:val="List Bullet 3"/>
    <w:basedOn w:val="Normal"/>
    <w:uiPriority w:val="99"/>
    <w:unhideWhenUsed/>
    <w:rsid w:val="00E64E0C"/>
    <w:pPr>
      <w:numPr>
        <w:numId w:val="3"/>
      </w:numPr>
      <w:ind w:left="681" w:hanging="227"/>
      <w:contextualSpacing/>
    </w:pPr>
  </w:style>
  <w:style w:type="table" w:styleId="TableGrid">
    <w:name w:val="Table Grid"/>
    <w:basedOn w:val="TableNormal"/>
    <w:uiPriority w:val="59"/>
    <w:rsid w:val="007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93BF3"/>
    <w:rPr>
      <w:rFonts w:ascii="Noto Sans" w:eastAsia="Noto Sans" w:hAnsi="Noto Sans" w:cs="Times New Roman"/>
      <w:b/>
      <w:color w:val="002A5E"/>
      <w:sz w:val="16"/>
      <w:szCs w:val="22"/>
    </w:rPr>
  </w:style>
  <w:style w:type="paragraph" w:customStyle="1" w:styleId="NumberingBold">
    <w:name w:val="Numbering Bold"/>
    <w:basedOn w:val="Normal"/>
    <w:rsid w:val="004574C1"/>
    <w:pPr>
      <w:keepNext/>
      <w:numPr>
        <w:numId w:val="4"/>
      </w:numPr>
      <w:spacing w:before="120"/>
    </w:pPr>
    <w:rPr>
      <w:rFonts w:eastAsia="Times New Roman" w:cs="Arial"/>
      <w:b/>
      <w:bCs/>
      <w:noProof/>
      <w:lang w:eastAsia="ja-JP"/>
    </w:rPr>
  </w:style>
  <w:style w:type="paragraph" w:customStyle="1" w:styleId="NumberingNormal">
    <w:name w:val="Numbering Normal"/>
    <w:basedOn w:val="NumberingBold"/>
    <w:qFormat/>
    <w:rsid w:val="004574C1"/>
    <w:pPr>
      <w:numPr>
        <w:numId w:val="5"/>
      </w:numPr>
    </w:pPr>
    <w:rPr>
      <w:b w:val="0"/>
    </w:rPr>
  </w:style>
  <w:style w:type="paragraph" w:customStyle="1" w:styleId="Letterlistbold">
    <w:name w:val="Letter list bold"/>
    <w:basedOn w:val="Normal"/>
    <w:autoRedefine/>
    <w:qFormat/>
    <w:rsid w:val="00B6343F"/>
    <w:pPr>
      <w:numPr>
        <w:numId w:val="6"/>
      </w:numPr>
      <w:tabs>
        <w:tab w:val="left" w:pos="3402"/>
      </w:tabs>
      <w:spacing w:before="120"/>
    </w:pPr>
    <w:rPr>
      <w:rFonts w:eastAsia="Times New Roman" w:cs="Schroders Circular TT"/>
      <w:b/>
      <w:spacing w:val="-6"/>
      <w:sz w:val="19"/>
      <w:szCs w:val="20"/>
      <w:lang w:eastAsia="ja-JP"/>
    </w:rPr>
  </w:style>
  <w:style w:type="paragraph" w:customStyle="1" w:styleId="Tableheading">
    <w:name w:val="Table heading"/>
    <w:basedOn w:val="Normal"/>
    <w:next w:val="BodyText"/>
    <w:autoRedefine/>
    <w:rsid w:val="009F5604"/>
    <w:pPr>
      <w:tabs>
        <w:tab w:val="left" w:pos="357"/>
        <w:tab w:val="left" w:pos="3402"/>
      </w:tabs>
      <w:spacing w:before="60" w:after="60"/>
    </w:pPr>
    <w:rPr>
      <w:rFonts w:eastAsia="Times New Roman" w:cs="Arial"/>
      <w:b/>
      <w:lang w:eastAsia="ja-JP"/>
    </w:rPr>
  </w:style>
  <w:style w:type="paragraph" w:customStyle="1" w:styleId="Letterlistunbold">
    <w:name w:val="Letter list unbold"/>
    <w:basedOn w:val="Letterlistbold"/>
    <w:rsid w:val="00DE107A"/>
    <w:pPr>
      <w:numPr>
        <w:numId w:val="7"/>
      </w:numPr>
    </w:pPr>
    <w:rPr>
      <w:b w:val="0"/>
    </w:rPr>
  </w:style>
  <w:style w:type="paragraph" w:customStyle="1" w:styleId="TableText">
    <w:name w:val="Table Text"/>
    <w:basedOn w:val="BodyText"/>
    <w:qFormat/>
    <w:rsid w:val="00F1271A"/>
    <w:pPr>
      <w:spacing w:before="60" w:after="60"/>
    </w:pPr>
  </w:style>
  <w:style w:type="paragraph" w:customStyle="1" w:styleId="B17SectionHeading14ptUnderscore">
    <w:name w:val="B17_Section Heading 14pt Underscore"/>
    <w:basedOn w:val="BodyText"/>
    <w:next w:val="B17BodyText"/>
    <w:uiPriority w:val="11"/>
    <w:rsid w:val="00D87E92"/>
    <w:pPr>
      <w:keepNext/>
      <w:pBdr>
        <w:bottom w:val="single" w:sz="4" w:space="1" w:color="002A5E"/>
      </w:pBdr>
      <w:tabs>
        <w:tab w:val="left" w:pos="3402"/>
      </w:tabs>
      <w:spacing w:before="120" w:line="276" w:lineRule="auto"/>
      <w:outlineLvl w:val="0"/>
    </w:pPr>
    <w:rPr>
      <w:rFonts w:ascii="Schroders Circular TT" w:hAnsi="Schroders Circular TT"/>
      <w:color w:val="002A5E"/>
      <w:sz w:val="24"/>
    </w:rPr>
  </w:style>
  <w:style w:type="paragraph" w:customStyle="1" w:styleId="B17SectionSubheadingnospaceabove">
    <w:name w:val="B17_Section Subheading (no space above)"/>
    <w:basedOn w:val="Normal"/>
    <w:qFormat/>
    <w:rsid w:val="000D259D"/>
    <w:pPr>
      <w:spacing w:line="260" w:lineRule="exact"/>
      <w:outlineLvl w:val="1"/>
    </w:pPr>
    <w:rPr>
      <w:rFonts w:ascii="Schroders Circular TT" w:hAnsi="Schroders Circular TT"/>
      <w:color w:val="0074B7"/>
      <w:sz w:val="24"/>
    </w:rPr>
  </w:style>
  <w:style w:type="paragraph" w:styleId="BalloonText">
    <w:name w:val="Balloon Text"/>
    <w:basedOn w:val="Normal"/>
    <w:link w:val="BalloonTextChar"/>
    <w:uiPriority w:val="99"/>
    <w:semiHidden/>
    <w:unhideWhenUsed/>
    <w:rsid w:val="00C01FD9"/>
    <w:pPr>
      <w:spacing w:after="0"/>
    </w:pPr>
    <w:rPr>
      <w:rFonts w:ascii="Tahoma" w:hAnsi="Tahoma" w:cs="Tahoma"/>
      <w:szCs w:val="16"/>
    </w:rPr>
  </w:style>
  <w:style w:type="character" w:customStyle="1" w:styleId="BalloonTextChar">
    <w:name w:val="Balloon Text Char"/>
    <w:link w:val="BalloonText"/>
    <w:uiPriority w:val="99"/>
    <w:semiHidden/>
    <w:rsid w:val="00C01FD9"/>
    <w:rPr>
      <w:rFonts w:ascii="Tahoma" w:hAnsi="Tahoma" w:cs="Tahoma"/>
      <w:sz w:val="16"/>
      <w:szCs w:val="16"/>
    </w:rPr>
  </w:style>
  <w:style w:type="paragraph" w:customStyle="1" w:styleId="B17BlueFooterPeriodCovered">
    <w:name w:val="B17_Blue Footer Period Covered"/>
    <w:basedOn w:val="B17BlueFooterText"/>
    <w:qFormat/>
    <w:rsid w:val="006A3891"/>
    <w:pPr>
      <w:spacing w:line="200" w:lineRule="exact"/>
      <w:jc w:val="right"/>
    </w:pPr>
  </w:style>
  <w:style w:type="character" w:customStyle="1" w:styleId="Heading5Char">
    <w:name w:val="Heading 5 Char"/>
    <w:link w:val="Heading5"/>
    <w:uiPriority w:val="9"/>
    <w:rsid w:val="00850E0B"/>
    <w:rPr>
      <w:rFonts w:ascii="Schroders Circular TT" w:eastAsia="Times New Roman" w:hAnsi="Schroders Circular TT" w:cs="Times New Roman"/>
      <w:color w:val="00142E"/>
      <w:sz w:val="17"/>
    </w:rPr>
  </w:style>
  <w:style w:type="paragraph" w:customStyle="1" w:styleId="B17Mastheadsubtitle">
    <w:name w:val="B17_Masthead subtitle"/>
    <w:basedOn w:val="Normal"/>
    <w:next w:val="Normal"/>
    <w:qFormat/>
    <w:rsid w:val="00A71987"/>
    <w:pPr>
      <w:spacing w:before="20" w:after="20"/>
    </w:pPr>
    <w:rPr>
      <w:rFonts w:ascii="Schroders Circular TT" w:hAnsi="Schroders Circular TT"/>
      <w:color w:val="FFFFFF"/>
      <w:sz w:val="44"/>
    </w:rPr>
  </w:style>
  <w:style w:type="paragraph" w:customStyle="1" w:styleId="B17MastheadSmallSubtitle">
    <w:name w:val="B17_Masthead Small Subtitle"/>
    <w:basedOn w:val="B17Mastheadsubtitle"/>
    <w:next w:val="BodyText"/>
    <w:autoRedefine/>
    <w:qFormat/>
    <w:rsid w:val="005503CF"/>
    <w:pPr>
      <w:spacing w:before="40" w:after="40"/>
    </w:pPr>
    <w:rPr>
      <w:sz w:val="24"/>
    </w:rPr>
  </w:style>
  <w:style w:type="paragraph" w:customStyle="1" w:styleId="B17Sourcetext">
    <w:name w:val="B17_Source text"/>
    <w:basedOn w:val="Normal"/>
    <w:uiPriority w:val="18"/>
    <w:qFormat/>
    <w:rsid w:val="007B39D1"/>
    <w:pPr>
      <w:spacing w:before="60" w:after="0" w:line="160" w:lineRule="exact"/>
      <w:contextualSpacing/>
    </w:pPr>
    <w:rPr>
      <w:sz w:val="15"/>
      <w:lang w:val="fr-FR"/>
    </w:rPr>
  </w:style>
  <w:style w:type="paragraph" w:customStyle="1" w:styleId="B17BlueFooterText">
    <w:name w:val="B17_Blue Footer Text"/>
    <w:basedOn w:val="BodyText"/>
    <w:qFormat/>
    <w:rsid w:val="00B76737"/>
    <w:pPr>
      <w:spacing w:after="0" w:line="180" w:lineRule="exact"/>
      <w:ind w:right="170"/>
    </w:pPr>
    <w:rPr>
      <w:color w:val="002A5E"/>
      <w:sz w:val="15"/>
      <w:lang w:eastAsia="ja-JP"/>
    </w:rPr>
  </w:style>
  <w:style w:type="paragraph" w:customStyle="1" w:styleId="B17ColouredFooterLEFT">
    <w:name w:val="B17_Coloured Footer LEFT"/>
    <w:basedOn w:val="Normal"/>
    <w:qFormat/>
    <w:rsid w:val="00F41F9A"/>
    <w:pPr>
      <w:spacing w:after="0" w:line="200" w:lineRule="exact"/>
      <w:ind w:left="170"/>
    </w:pPr>
    <w:rPr>
      <w:b/>
      <w:color w:val="3AB6FF"/>
      <w:sz w:val="15"/>
    </w:rPr>
  </w:style>
  <w:style w:type="paragraph" w:customStyle="1" w:styleId="B17MastheadTitle">
    <w:name w:val="B17_Masthead Title"/>
    <w:basedOn w:val="Normal"/>
    <w:next w:val="B17MastheadTitleWhite"/>
    <w:qFormat/>
    <w:rsid w:val="005E0E2C"/>
    <w:pPr>
      <w:spacing w:after="20" w:line="500" w:lineRule="exact"/>
    </w:pPr>
    <w:rPr>
      <w:rFonts w:ascii="Schroders Circular TT" w:hAnsi="Schroders Circular TT"/>
      <w:color w:val="A1F4F9"/>
      <w:sz w:val="48"/>
    </w:rPr>
  </w:style>
  <w:style w:type="paragraph" w:customStyle="1" w:styleId="B17MastheadTitleWhite">
    <w:name w:val="B17_Masthead Title White"/>
    <w:basedOn w:val="Normal"/>
    <w:next w:val="Normal"/>
    <w:qFormat/>
    <w:rsid w:val="00283EFA"/>
    <w:pPr>
      <w:spacing w:after="0" w:line="480" w:lineRule="exact"/>
    </w:pPr>
    <w:rPr>
      <w:rFonts w:ascii="Schroders Circular TT" w:hAnsi="Schroders Circular TT"/>
      <w:color w:val="FFFFFF"/>
      <w:sz w:val="44"/>
    </w:rPr>
  </w:style>
  <w:style w:type="paragraph" w:customStyle="1" w:styleId="B17Disclaimertext">
    <w:name w:val="B17_Disclaimer text"/>
    <w:next w:val="BodyText"/>
    <w:rsid w:val="00261495"/>
    <w:pPr>
      <w:tabs>
        <w:tab w:val="left" w:pos="3402"/>
      </w:tabs>
      <w:spacing w:line="180" w:lineRule="exact"/>
    </w:pPr>
    <w:rPr>
      <w:rFonts w:eastAsia="Times New Roman" w:cs="Arial"/>
      <w:sz w:val="16"/>
      <w:szCs w:val="22"/>
      <w:lang w:val="en-GB"/>
    </w:rPr>
  </w:style>
  <w:style w:type="paragraph" w:styleId="ListParagraph">
    <w:name w:val="List Paragraph"/>
    <w:basedOn w:val="Normal"/>
    <w:uiPriority w:val="34"/>
    <w:qFormat/>
    <w:rsid w:val="00F1271A"/>
    <w:pPr>
      <w:ind w:left="720"/>
      <w:contextualSpacing/>
    </w:pPr>
  </w:style>
  <w:style w:type="paragraph" w:customStyle="1" w:styleId="B17ColouredFooterRIGHT">
    <w:name w:val="B17_Coloured Footer RIGHT"/>
    <w:basedOn w:val="B17ColouredFooterLEFT"/>
    <w:qFormat/>
    <w:rsid w:val="00F11DFB"/>
    <w:pPr>
      <w:ind w:left="0" w:right="170"/>
      <w:jc w:val="right"/>
    </w:pPr>
    <w:rPr>
      <w:color w:val="002A5E"/>
    </w:rPr>
  </w:style>
  <w:style w:type="character" w:styleId="PlaceholderText">
    <w:name w:val="Placeholder Text"/>
    <w:uiPriority w:val="99"/>
    <w:semiHidden/>
    <w:rsid w:val="009F59AF"/>
    <w:rPr>
      <w:color w:val="808080"/>
    </w:rPr>
  </w:style>
  <w:style w:type="paragraph" w:customStyle="1" w:styleId="B17BodyText">
    <w:name w:val="B17_Body Text"/>
    <w:basedOn w:val="BodyText"/>
    <w:qFormat/>
    <w:rsid w:val="00B6343F"/>
    <w:rPr>
      <w:sz w:val="19"/>
    </w:rPr>
  </w:style>
  <w:style w:type="paragraph" w:customStyle="1" w:styleId="B17TableText">
    <w:name w:val="B17_Table Text"/>
    <w:uiPriority w:val="16"/>
    <w:qFormat/>
    <w:rsid w:val="00D87E92"/>
    <w:pPr>
      <w:spacing w:before="60" w:after="60"/>
    </w:pPr>
    <w:rPr>
      <w:sz w:val="16"/>
      <w:szCs w:val="22"/>
      <w:lang w:val="en-GB"/>
    </w:rPr>
  </w:style>
  <w:style w:type="table" w:customStyle="1" w:styleId="SchrodersTable">
    <w:name w:val="Schroders Table"/>
    <w:basedOn w:val="TableNormal"/>
    <w:uiPriority w:val="99"/>
    <w:rsid w:val="00E6423F"/>
    <w:pPr>
      <w:spacing w:before="60" w:after="60"/>
    </w:pPr>
    <w:rPr>
      <w:sz w:val="19"/>
    </w:rPr>
    <w:tblPr>
      <w:tblStyleColBandSize w:val="1"/>
      <w:tblInd w:w="74" w:type="dxa"/>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Noto Sans" w:hAnsi="Noto Sans"/>
        <w:b/>
        <w:color w:val="FFFFFF"/>
      </w:rPr>
      <w:tblPr/>
      <w:tcPr>
        <w:tcBorders>
          <w:bottom w:val="single" w:sz="6" w:space="0" w:color="FFFFFF"/>
        </w:tcBorders>
        <w:shd w:val="clear" w:color="auto" w:fill="002A5E"/>
      </w:tcPr>
    </w:tblStylePr>
    <w:tblStylePr w:type="lastRow">
      <w:rPr>
        <w:b/>
      </w:rPr>
      <w:tblPr/>
      <w:tcPr>
        <w:tcBorders>
          <w:top w:val="single" w:sz="8" w:space="0" w:color="002A5E"/>
          <w:bottom w:val="single" w:sz="8" w:space="0" w:color="002A5E"/>
        </w:tcBorders>
        <w:shd w:val="clear" w:color="auto" w:fill="D4E7FF"/>
      </w:tcPr>
    </w:tblStylePr>
    <w:tblStylePr w:type="firstCol">
      <w:rPr>
        <w:b/>
      </w:rPr>
      <w:tblPr/>
      <w:tcPr>
        <w:tcBorders>
          <w:insideH w:val="single" w:sz="6" w:space="0" w:color="FFFFFF"/>
        </w:tcBorders>
        <w:shd w:val="clear" w:color="auto" w:fill="002A5E"/>
      </w:tcPr>
    </w:tblStylePr>
    <w:tblStylePr w:type="band1Vert">
      <w:tblPr/>
      <w:tcPr>
        <w:tcBorders>
          <w:top w:val="nil"/>
          <w:left w:val="nil"/>
          <w:bottom w:val="nil"/>
          <w:right w:val="nil"/>
          <w:insideH w:val="single" w:sz="4" w:space="0" w:color="002A5E"/>
          <w:insideV w:val="nil"/>
        </w:tcBorders>
      </w:tcPr>
    </w:tblStylePr>
    <w:tblStylePr w:type="band2Vert">
      <w:tblPr/>
      <w:tcPr>
        <w:tcBorders>
          <w:insideH w:val="single" w:sz="4" w:space="0" w:color="002A5E"/>
        </w:tcBorders>
      </w:tcPr>
    </w:tblStylePr>
  </w:style>
  <w:style w:type="paragraph" w:customStyle="1" w:styleId="B17Chartandtablesubtitle">
    <w:name w:val="B17_Chart and table subtitle"/>
    <w:basedOn w:val="Normal"/>
    <w:next w:val="BodyText"/>
    <w:uiPriority w:val="16"/>
    <w:qFormat/>
    <w:rsid w:val="00BD4EC8"/>
    <w:pPr>
      <w:keepNext/>
      <w:spacing w:after="60"/>
    </w:pPr>
    <w:rPr>
      <w:rFonts w:eastAsia="Times New Roman" w:cs="Arial"/>
      <w:b/>
      <w:lang w:eastAsia="ja-JP"/>
    </w:rPr>
  </w:style>
  <w:style w:type="paragraph" w:customStyle="1" w:styleId="B17Chartandtabletitle">
    <w:name w:val="B17_Chart and table title"/>
    <w:basedOn w:val="B17ParagraphHeaderPrussian"/>
    <w:uiPriority w:val="15"/>
    <w:qFormat/>
    <w:rsid w:val="00BD4EC8"/>
    <w:pPr>
      <w:spacing w:after="60"/>
    </w:pPr>
  </w:style>
  <w:style w:type="paragraph" w:customStyle="1" w:styleId="B17BulletedtextRegular">
    <w:name w:val="B17_Bulleted text (Regular)"/>
    <w:basedOn w:val="Normal"/>
    <w:uiPriority w:val="4"/>
    <w:qFormat/>
    <w:rsid w:val="00D87E92"/>
    <w:pPr>
      <w:numPr>
        <w:numId w:val="8"/>
      </w:numPr>
      <w:spacing w:before="60" w:after="60"/>
    </w:pPr>
    <w:rPr>
      <w:rFonts w:eastAsia="Times New Roman" w:cs="Arial"/>
      <w:sz w:val="18"/>
      <w:szCs w:val="20"/>
      <w:lang w:eastAsia="ja-JP"/>
    </w:rPr>
  </w:style>
  <w:style w:type="paragraph" w:customStyle="1" w:styleId="B17ParagraphHeaderMid-Blue">
    <w:name w:val="B17_Paragraph Header Mid-Blue"/>
    <w:basedOn w:val="BodyText"/>
    <w:next w:val="B17BodyText"/>
    <w:uiPriority w:val="2"/>
    <w:qFormat/>
    <w:rsid w:val="002914F3"/>
    <w:pPr>
      <w:keepNext/>
      <w:spacing w:before="240"/>
    </w:pPr>
    <w:rPr>
      <w:b/>
      <w:color w:val="0074B7"/>
      <w:sz w:val="19"/>
    </w:rPr>
  </w:style>
  <w:style w:type="paragraph" w:customStyle="1" w:styleId="B17ParagraphHeaderPrussian">
    <w:name w:val="B17_Paragraph Header Prussian"/>
    <w:basedOn w:val="B17ParagraphHeaderMid-Blue"/>
    <w:next w:val="B17BodyText"/>
    <w:uiPriority w:val="1"/>
    <w:qFormat/>
    <w:rsid w:val="002914F3"/>
    <w:rPr>
      <w:color w:val="002A5E"/>
    </w:rPr>
  </w:style>
  <w:style w:type="paragraph" w:customStyle="1" w:styleId="B17OverviewBoxTitle">
    <w:name w:val="B17_Overview Box Title"/>
    <w:basedOn w:val="Normal"/>
    <w:qFormat/>
    <w:rsid w:val="00B831A3"/>
    <w:pPr>
      <w:tabs>
        <w:tab w:val="left" w:pos="3402"/>
      </w:tabs>
      <w:spacing w:before="120" w:after="0" w:line="276" w:lineRule="auto"/>
      <w:outlineLvl w:val="0"/>
    </w:pPr>
    <w:rPr>
      <w:rFonts w:ascii="Schroders Circular TT" w:hAnsi="Schroders Circular TT"/>
      <w:color w:val="002A5E"/>
      <w:sz w:val="32"/>
    </w:rPr>
  </w:style>
  <w:style w:type="paragraph" w:styleId="FootnoteText">
    <w:name w:val="footnote text"/>
    <w:basedOn w:val="Normal"/>
    <w:link w:val="FootnoteTextChar"/>
    <w:uiPriority w:val="99"/>
    <w:semiHidden/>
    <w:unhideWhenUsed/>
    <w:rsid w:val="00D93436"/>
    <w:pPr>
      <w:spacing w:after="0"/>
    </w:pPr>
    <w:rPr>
      <w:sz w:val="15"/>
      <w:szCs w:val="20"/>
    </w:rPr>
  </w:style>
  <w:style w:type="character" w:customStyle="1" w:styleId="FootnoteTextChar">
    <w:name w:val="Footnote Text Char"/>
    <w:link w:val="FootnoteText"/>
    <w:uiPriority w:val="99"/>
    <w:semiHidden/>
    <w:rsid w:val="00D93436"/>
    <w:rPr>
      <w:sz w:val="15"/>
      <w:szCs w:val="20"/>
    </w:rPr>
  </w:style>
  <w:style w:type="character" w:styleId="FootnoteReference">
    <w:name w:val="footnote reference"/>
    <w:uiPriority w:val="99"/>
    <w:semiHidden/>
    <w:unhideWhenUsed/>
    <w:rsid w:val="00D93436"/>
    <w:rPr>
      <w:vertAlign w:val="superscript"/>
    </w:rPr>
  </w:style>
  <w:style w:type="character" w:styleId="Hyperlink">
    <w:name w:val="Hyperlink"/>
    <w:uiPriority w:val="99"/>
    <w:unhideWhenUsed/>
    <w:rsid w:val="007838F7"/>
    <w:rPr>
      <w:color w:val="0074B7"/>
      <w:u w:val="single"/>
    </w:rPr>
  </w:style>
  <w:style w:type="paragraph" w:customStyle="1" w:styleId="B17AtaGlance">
    <w:name w:val="B17_At a Glance"/>
    <w:basedOn w:val="B17BodyText"/>
    <w:qFormat/>
    <w:rsid w:val="00B6343F"/>
    <w:pPr>
      <w:spacing w:before="120"/>
    </w:pPr>
    <w:rPr>
      <w:sz w:val="20"/>
    </w:rPr>
  </w:style>
  <w:style w:type="paragraph" w:customStyle="1" w:styleId="B17SectionSubheading">
    <w:name w:val="B17_Section Subheading"/>
    <w:next w:val="B17BodyText"/>
    <w:uiPriority w:val="12"/>
    <w:qFormat/>
    <w:rsid w:val="000D259D"/>
    <w:pPr>
      <w:keepNext/>
      <w:spacing w:before="240" w:after="120" w:line="260" w:lineRule="exact"/>
      <w:outlineLvl w:val="1"/>
    </w:pPr>
    <w:rPr>
      <w:rFonts w:ascii="Schroders Circular TT" w:hAnsi="Schroders Circular TT"/>
      <w:color w:val="0074B7"/>
      <w:sz w:val="24"/>
      <w:szCs w:val="22"/>
      <w:lang w:val="en-GB"/>
    </w:rPr>
  </w:style>
  <w:style w:type="character" w:styleId="Emphasis">
    <w:name w:val="Emphasis"/>
    <w:uiPriority w:val="20"/>
    <w:qFormat/>
    <w:rsid w:val="00425C57"/>
    <w:rPr>
      <w:i/>
      <w:iCs/>
    </w:rPr>
  </w:style>
  <w:style w:type="character" w:styleId="CommentReference">
    <w:name w:val="annotation reference"/>
    <w:uiPriority w:val="99"/>
    <w:semiHidden/>
    <w:unhideWhenUsed/>
    <w:rsid w:val="00FF5C2F"/>
    <w:rPr>
      <w:sz w:val="16"/>
      <w:szCs w:val="16"/>
    </w:rPr>
  </w:style>
  <w:style w:type="paragraph" w:styleId="CommentText">
    <w:name w:val="annotation text"/>
    <w:basedOn w:val="Normal"/>
    <w:link w:val="CommentTextChar"/>
    <w:uiPriority w:val="99"/>
    <w:unhideWhenUsed/>
    <w:rsid w:val="00FF5C2F"/>
    <w:rPr>
      <w:sz w:val="20"/>
      <w:szCs w:val="20"/>
    </w:rPr>
  </w:style>
  <w:style w:type="character" w:customStyle="1" w:styleId="CommentTextChar">
    <w:name w:val="Comment Text Char"/>
    <w:link w:val="CommentText"/>
    <w:uiPriority w:val="99"/>
    <w:rsid w:val="00FF5C2F"/>
    <w:rPr>
      <w:sz w:val="20"/>
      <w:szCs w:val="20"/>
    </w:rPr>
  </w:style>
  <w:style w:type="paragraph" w:styleId="CommentSubject">
    <w:name w:val="annotation subject"/>
    <w:basedOn w:val="CommentText"/>
    <w:next w:val="CommentText"/>
    <w:link w:val="CommentSubjectChar"/>
    <w:uiPriority w:val="99"/>
    <w:semiHidden/>
    <w:unhideWhenUsed/>
    <w:rsid w:val="00FF5C2F"/>
    <w:rPr>
      <w:b/>
      <w:bCs/>
    </w:rPr>
  </w:style>
  <w:style w:type="character" w:customStyle="1" w:styleId="CommentSubjectChar">
    <w:name w:val="Comment Subject Char"/>
    <w:link w:val="CommentSubject"/>
    <w:uiPriority w:val="99"/>
    <w:semiHidden/>
    <w:rsid w:val="00FF5C2F"/>
    <w:rPr>
      <w:b/>
      <w:bCs/>
      <w:sz w:val="20"/>
      <w:szCs w:val="20"/>
    </w:rPr>
  </w:style>
  <w:style w:type="character" w:styleId="UnresolvedMention">
    <w:name w:val="Unresolved Mention"/>
    <w:uiPriority w:val="99"/>
    <w:semiHidden/>
    <w:unhideWhenUsed/>
    <w:rsid w:val="0036046C"/>
    <w:rPr>
      <w:color w:val="605E5C"/>
      <w:shd w:val="clear" w:color="auto" w:fill="E1DFDD"/>
    </w:rPr>
  </w:style>
  <w:style w:type="paragraph" w:styleId="Revision">
    <w:name w:val="Revision"/>
    <w:hidden/>
    <w:uiPriority w:val="99"/>
    <w:semiHidden/>
    <w:rsid w:val="0003399A"/>
    <w:rPr>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64">
      <w:bodyDiv w:val="1"/>
      <w:marLeft w:val="0"/>
      <w:marRight w:val="0"/>
      <w:marTop w:val="0"/>
      <w:marBottom w:val="0"/>
      <w:divBdr>
        <w:top w:val="none" w:sz="0" w:space="0" w:color="auto"/>
        <w:left w:val="none" w:sz="0" w:space="0" w:color="auto"/>
        <w:bottom w:val="none" w:sz="0" w:space="0" w:color="auto"/>
        <w:right w:val="none" w:sz="0" w:space="0" w:color="auto"/>
      </w:divBdr>
    </w:div>
    <w:div w:id="249050318">
      <w:bodyDiv w:val="1"/>
      <w:marLeft w:val="0"/>
      <w:marRight w:val="0"/>
      <w:marTop w:val="0"/>
      <w:marBottom w:val="0"/>
      <w:divBdr>
        <w:top w:val="none" w:sz="0" w:space="0" w:color="auto"/>
        <w:left w:val="none" w:sz="0" w:space="0" w:color="auto"/>
        <w:bottom w:val="none" w:sz="0" w:space="0" w:color="auto"/>
        <w:right w:val="none" w:sz="0" w:space="0" w:color="auto"/>
      </w:divBdr>
    </w:div>
    <w:div w:id="313724127">
      <w:bodyDiv w:val="1"/>
      <w:marLeft w:val="0"/>
      <w:marRight w:val="0"/>
      <w:marTop w:val="0"/>
      <w:marBottom w:val="0"/>
      <w:divBdr>
        <w:top w:val="none" w:sz="0" w:space="0" w:color="auto"/>
        <w:left w:val="none" w:sz="0" w:space="0" w:color="auto"/>
        <w:bottom w:val="none" w:sz="0" w:space="0" w:color="auto"/>
        <w:right w:val="none" w:sz="0" w:space="0" w:color="auto"/>
      </w:divBdr>
    </w:div>
    <w:div w:id="445079417">
      <w:bodyDiv w:val="1"/>
      <w:marLeft w:val="0"/>
      <w:marRight w:val="0"/>
      <w:marTop w:val="0"/>
      <w:marBottom w:val="0"/>
      <w:divBdr>
        <w:top w:val="none" w:sz="0" w:space="0" w:color="auto"/>
        <w:left w:val="none" w:sz="0" w:space="0" w:color="auto"/>
        <w:bottom w:val="none" w:sz="0" w:space="0" w:color="auto"/>
        <w:right w:val="none" w:sz="0" w:space="0" w:color="auto"/>
      </w:divBdr>
    </w:div>
    <w:div w:id="1077283192">
      <w:bodyDiv w:val="1"/>
      <w:marLeft w:val="0"/>
      <w:marRight w:val="0"/>
      <w:marTop w:val="0"/>
      <w:marBottom w:val="0"/>
      <w:divBdr>
        <w:top w:val="none" w:sz="0" w:space="0" w:color="auto"/>
        <w:left w:val="none" w:sz="0" w:space="0" w:color="auto"/>
        <w:bottom w:val="none" w:sz="0" w:space="0" w:color="auto"/>
        <w:right w:val="none" w:sz="0" w:space="0" w:color="auto"/>
      </w:divBdr>
    </w:div>
    <w:div w:id="1323850810">
      <w:bodyDiv w:val="1"/>
      <w:marLeft w:val="0"/>
      <w:marRight w:val="0"/>
      <w:marTop w:val="0"/>
      <w:marBottom w:val="0"/>
      <w:divBdr>
        <w:top w:val="none" w:sz="0" w:space="0" w:color="auto"/>
        <w:left w:val="none" w:sz="0" w:space="0" w:color="auto"/>
        <w:bottom w:val="none" w:sz="0" w:space="0" w:color="auto"/>
        <w:right w:val="none" w:sz="0" w:space="0" w:color="auto"/>
      </w:divBdr>
    </w:div>
    <w:div w:id="1647934229">
      <w:bodyDiv w:val="1"/>
      <w:marLeft w:val="0"/>
      <w:marRight w:val="0"/>
      <w:marTop w:val="0"/>
      <w:marBottom w:val="0"/>
      <w:divBdr>
        <w:top w:val="none" w:sz="0" w:space="0" w:color="auto"/>
        <w:left w:val="none" w:sz="0" w:space="0" w:color="auto"/>
        <w:bottom w:val="none" w:sz="0" w:space="0" w:color="auto"/>
        <w:right w:val="none" w:sz="0" w:space="0" w:color="auto"/>
      </w:divBdr>
    </w:div>
    <w:div w:id="1733695903">
      <w:bodyDiv w:val="1"/>
      <w:marLeft w:val="0"/>
      <w:marRight w:val="0"/>
      <w:marTop w:val="0"/>
      <w:marBottom w:val="0"/>
      <w:divBdr>
        <w:top w:val="none" w:sz="0" w:space="0" w:color="auto"/>
        <w:left w:val="none" w:sz="0" w:space="0" w:color="auto"/>
        <w:bottom w:val="none" w:sz="0" w:space="0" w:color="auto"/>
        <w:right w:val="none" w:sz="0" w:space="0" w:color="auto"/>
      </w:divBdr>
    </w:div>
    <w:div w:id="1748335790">
      <w:bodyDiv w:val="1"/>
      <w:marLeft w:val="0"/>
      <w:marRight w:val="0"/>
      <w:marTop w:val="0"/>
      <w:marBottom w:val="0"/>
      <w:divBdr>
        <w:top w:val="none" w:sz="0" w:space="0" w:color="auto"/>
        <w:left w:val="none" w:sz="0" w:space="0" w:color="auto"/>
        <w:bottom w:val="none" w:sz="0" w:space="0" w:color="auto"/>
        <w:right w:val="none" w:sz="0" w:space="0" w:color="auto"/>
      </w:divBdr>
    </w:div>
    <w:div w:id="21047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schroders.com"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eifs.lu/schroders"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yperlink" Target="https://www.schroders.com/en/lu/professional-investor/footer/complaints-handl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3.xml"/><Relationship Id="rId40" Type="http://schemas.openxmlformats.org/officeDocument/2006/relationships/hyperlink" Target="http://www.schroders.com/en/privacy-policy/"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2.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c6d307e8-be74-4b6a-9c8e-c8adb9822790</Id>
  <Name>EXPRESSION_VARIABLE_MAPPING</Name>
  <TargetDataSource>93a9c6a9-1bb2-4681-8722-67314e685cec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0.xml><?xml version="1.0" encoding="utf-8"?>
<AllExternalAdhocVariableMappings/>
</file>

<file path=customXml/item11.xml><?xml version="1.0" encoding="utf-8"?>
<AllWordPDs>
</AllWordPDs>
</file>

<file path=customXml/item12.xml><?xml version="1.0" encoding="utf-8"?>
<AllMetadata/>
</file>

<file path=customXml/item13.xml><?xml version="1.0" encoding="utf-8"?>
<DataSourceMapping>
  <Id>dec0d057-3e5d-4a0d-a4b6-c0cb5a7854aa</Id>
  <Name>AD_HOC_MAPPING</Name>
  <TargetDataSource>ee45275a-de19-416e-9d22-490157ad7a54</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4.xml><?xml version="1.0" encoding="utf-8"?>
<SourceDataModel Name="System" TargetDataSourceId="93a9c6a9-1bb2-4681-8722-67314e685cec"/>
</file>

<file path=customXml/item15.xml><?xml version="1.0" encoding="utf-8"?>
<SourceDataModel Name="Computed" TargetDataSourceId="ad8b6a6e-acd5-4b0f-937c-61d6e047e17f"/>
</file>

<file path=customXml/item16.xml><?xml version="1.0" encoding="utf-8"?>
<DataSourceInfo>
  <Id>93a9c6a9-1bb2-4681-8722-67314e685cec</Id>
  <MajorVersion>0</MajorVersion>
  <MinorVersion>1</MinorVersion>
  <DataSourceType>System</DataSourceType>
  <Name>System</Name>
  <Description/>
  <Filter/>
  <DataFields/>
</DataSourceInfo>
</file>

<file path=customXml/item17.xml><?xml version="1.0" encoding="utf-8"?>
<p:properties xmlns:p="http://schemas.microsoft.com/office/2006/metadata/properties" xmlns:xsi="http://www.w3.org/2001/XMLSchema-instance" xmlns:pc="http://schemas.microsoft.com/office/infopath/2007/PartnerControls">
  <documentManagement>
    <h5c6f3f9467c440da5d4e58f9d6915e3 xmlns="c8fafc93-787e-4f10-bd18-bb5398e89066">
      <Terms xmlns="http://schemas.microsoft.com/office/infopath/2007/PartnerControls"/>
    </h5c6f3f9467c440da5d4e58f9d6915e3>
    <_ip_UnifiedCompliancePolicyUIAction xmlns="http://schemas.microsoft.com/sharepoint/v3" xsi:nil="true"/>
    <TaxCatchAll xmlns="69ece4c0-e639-4d27-a408-778c245e4fea" xsi:nil="true"/>
    <gdc95e895a66489fbddfd0aedeef4a4d xmlns="c8fafc93-787e-4f10-bd18-bb5398e89066">
      <Terms xmlns="http://schemas.microsoft.com/office/infopath/2007/PartnerControls"/>
    </gdc95e895a66489fbddfd0aedeef4a4d>
    <na0ef3f2435a44f992efef542271c1ad xmlns="c8fafc93-787e-4f10-bd18-bb5398e89066">
      <Terms xmlns="http://schemas.microsoft.com/office/infopath/2007/PartnerControls"/>
    </na0ef3f2435a44f992efef542271c1ad>
    <_ip_UnifiedCompliancePolicyProperties xmlns="http://schemas.microsoft.com/sharepoint/v3" xsi:nil="true"/>
    <eb70884a37994eea8f8610875be350fb xmlns="c8fafc93-787e-4f10-bd18-bb5398e89066">
      <Terms xmlns="http://schemas.microsoft.com/office/infopath/2007/PartnerControls"/>
    </eb70884a37994eea8f8610875be350fb>
    <n36f8d5caa114d28bd6cd683d744a75d xmlns="c8fafc93-787e-4f10-bd18-bb5398e89066">
      <Terms xmlns="http://schemas.microsoft.com/office/infopath/2007/PartnerControls"/>
    </n36f8d5caa114d28bd6cd683d744a75d>
    <lcf76f155ced4ddcb4097134ff3c332f xmlns="c8fafc93-787e-4f10-bd18-bb5398e89066">
      <Terms xmlns="http://schemas.microsoft.com/office/infopath/2007/PartnerControls"/>
    </lcf76f155ced4ddcb4097134ff3c332f>
    <id1de02aebd34f1b9a02af7835d3332c xmlns="c8fafc93-787e-4f10-bd18-bb5398e89066">
      <Terms xmlns="http://schemas.microsoft.com/office/infopath/2007/PartnerControls"/>
    </id1de02aebd34f1b9a02af7835d3332c>
    <pd7ad48bd346410abfeeb792744c4564 xmlns="c8fafc93-787e-4f10-bd18-bb5398e89066">
      <Terms xmlns="http://schemas.microsoft.com/office/infopath/2007/PartnerControls"/>
    </pd7ad48bd346410abfeeb792744c4564>
  </documentManagement>
</p:properties>
</file>

<file path=customXml/item18.xml><?xml version="1.0" encoding="utf-8"?>
<DataSourceInfo>
  <Id>ee45275a-de19-416e-9d22-490157ad7a54</Id>
  <MajorVersion>0</MajorVersion>
  <MinorVersion>1</MinorVersion>
  <DataSourceType>Ad_Hoc</DataSourceType>
  <Name>AD_HOC</Name>
  <Description/>
  <Filter/>
  <DataFields/>
</DataSourceInfo>
</file>

<file path=customXml/item19.xml><?xml version="1.0" encoding="utf-8"?>
<VariableList UniqueId="89cb3e8f-aa55-4601-ad38-1b958174d266" Name="AD_HOC" ContentType="XML" MajorVersion="0" MinorVersion="1" isLocalCopy="False" IsBaseObject="False" DataSourceId="ee45275a-de19-416e-9d22-490157ad7a54" DataSourceMajorVersion="0" DataSourceMinorVersion="1"/>
</file>

<file path=customXml/item2.xml><?xml version="1.0" encoding="utf-8"?>
<VariableListDefinition name="System" displayName="System" id="8282689e-c4a1-46ae-839e-56428b506614" isdomainofvalue="False" dataSourceId="93a9c6a9-1bb2-4681-8722-67314e685cec"/>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CustXmlRels>
  <VariableListCustXmlRel variableListName="AD_HOC">
    <VariableListDefCustXmlId>{D9F4C43E-5A6C-4532-83F6-D5E7F3B98D92}</VariableListDefCustXmlId>
    <LibraryMetadataCustXmlId>{2E6718E7-1408-42D8-851F-5CFF3A7FBDD2}</LibraryMetadataCustXmlId>
    <DataSourceInfoCustXmlId>{6570A155-273F-4696-8DF0-60CA5A3B40E4}</DataSourceInfoCustXmlId>
    <DataSourceMappingCustXmlId>{8ECFCB54-2FF4-4132-A5C0-73E77D511520}</DataSourceMappingCustXmlId>
    <SdmcCustXmlId>{9F6EEF50-FAA3-430F-AB9A-DCCA58324E69}</SdmcCustXmlId>
  </VariableListCustXmlRel>
  <VariableListCustXmlRel variableListName="Computed">
    <VariableListDefCustXmlId>{466049E2-A633-4A07-8F73-94A74612CEB1}</VariableListDefCustXmlId>
    <LibraryMetadataCustXmlId>{C012A1EA-2DEB-44E9-9AA2-CCDCD74F7B85}</LibraryMetadataCustXmlId>
    <DataSourceInfoCustXmlId>{ED122ABE-3000-4C61-A4D4-1CF3FB765444}</DataSourceInfoCustXmlId>
    <DataSourceMappingCustXmlId>{0CFB1A0D-283B-4691-B3B9-277AD406217B}</DataSourceMappingCustXmlId>
    <SdmcCustXmlId>{9BD77C0F-5F99-4C56-9349-1DED4DA3FBDA}</SdmcCustXmlId>
  </VariableListCustXmlRel>
  <VariableListCustXmlRel variableListName="System">
    <VariableListDefCustXmlId>{18D228CC-482B-4A29-BD67-03183A2239EB}</VariableListDefCustXmlId>
    <LibraryMetadataCustXmlId>{2D11195C-FCEF-4ABD-832D-BCE58AEEAF26}</LibraryMetadataCustXmlId>
    <DataSourceInfoCustXmlId>{042FBFF2-1E7C-4508-A14D-556666DB3BD1}</DataSourceInfoCustXmlId>
    <DataSourceMappingCustXmlId>{EBA4E60E-C5D0-4A42-AA14-041C36011B2C}</DataSourceMappingCustXmlId>
    <SdmcCustXmlId>{02E0CDAB-DCE7-4751-8414-45C0A73A7168}</SdmcCustXmlId>
  </VariableListCustXmlRel>
</VariableListCustXmlRels>
</file>

<file path=customXml/item22.xml><?xml version="1.0" encoding="utf-8"?>
<DataSourceMapping>
  <Id>2ed5c66a-b5f1-4f52-a101-dc392f92eb29</Id>
  <Name>EXPRESSION_VARIABLE_MAPPING</Name>
  <TargetDataSource>ad8b6a6e-acd5-4b0f-937c-61d6e047e17f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3.xml><?xml version="1.0" encoding="utf-8"?>
<VariableList UniqueId="8282689e-c4a1-46ae-839e-56428b506614" Name="System" ContentType="XML" MajorVersion="0" MinorVersion="1" isLocalCopy="False" IsBaseObject="False" DataSourceId="93a9c6a9-1bb2-4681-8722-67314e685cec" DataSourceMajorVersion="0" DataSourceMinorVersion="1"/>
</file>

<file path=customXml/item24.xml><?xml version="1.0" encoding="utf-8"?>
<LongProperties xmlns="http://schemas.microsoft.com/office/2006/metadata/longProperties"/>
</file>

<file path=customXml/item25.xml><?xml version="1.0" encoding="utf-8"?>
<VariableListDefinition name="AD_HOC" displayName="AD_HOC" id="89cb3e8f-aa55-4601-ad38-1b958174d266" isdomainofvalue="False" dataSourceId="ee45275a-de19-416e-9d22-490157ad7a54"/>
</file>

<file path=customXml/item26.xml><?xml version="1.0" encoding="utf-8"?>
<ct:contentTypeSchema xmlns:ct="http://schemas.microsoft.com/office/2006/metadata/contentType" xmlns:ma="http://schemas.microsoft.com/office/2006/metadata/properties/metaAttributes" ct:_="" ma:_="" ma:contentTypeName="Document" ma:contentTypeID="0x010100AEFF028DBF6A5A4AACCE86F7DC7A62B5" ma:contentTypeVersion="33" ma:contentTypeDescription="Create a new document." ma:contentTypeScope="" ma:versionID="32feb9ebb17725f20c1612b1586cc654">
  <xsd:schema xmlns:xsd="http://www.w3.org/2001/XMLSchema" xmlns:xs="http://www.w3.org/2001/XMLSchema" xmlns:p="http://schemas.microsoft.com/office/2006/metadata/properties" xmlns:ns1="http://schemas.microsoft.com/sharepoint/v3" xmlns:ns2="69ece4c0-e639-4d27-a408-778c245e4fea" xmlns:ns3="c8fafc93-787e-4f10-bd18-bb5398e89066" targetNamespace="http://schemas.microsoft.com/office/2006/metadata/properties" ma:root="true" ma:fieldsID="a4cf37c1eab08ba47b2e216147d5e197" ns1:_="" ns2:_="" ns3:_="">
    <xsd:import namespace="http://schemas.microsoft.com/sharepoint/v3"/>
    <xsd:import namespace="69ece4c0-e639-4d27-a408-778c245e4fea"/>
    <xsd:import namespace="c8fafc93-787e-4f10-bd18-bb5398e89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eb70884a37994eea8f8610875be350fb" minOccurs="0"/>
                <xsd:element ref="ns2:TaxCatchAll" minOccurs="0"/>
                <xsd:element ref="ns3:n36f8d5caa114d28bd6cd683d744a75d" minOccurs="0"/>
                <xsd:element ref="ns3:h5c6f3f9467c440da5d4e58f9d6915e3" minOccurs="0"/>
                <xsd:element ref="ns3:na0ef3f2435a44f992efef542271c1ad" minOccurs="0"/>
                <xsd:element ref="ns3:id1de02aebd34f1b9a02af7835d3332c" minOccurs="0"/>
                <xsd:element ref="ns3:pd7ad48bd346410abfeeb792744c4564" minOccurs="0"/>
                <xsd:element ref="ns3:gdc95e895a66489fbddfd0aedeef4a4d"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ce4c0-e639-4d27-a408-778c245e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072298-c5f3-4107-8457-8c9c97ca3818}" ma:internalName="TaxCatchAll" ma:showField="CatchAllData" ma:web="69ece4c0-e639-4d27-a408-778c245e4f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afc93-787e-4f10-bd18-bb5398e89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eb70884a37994eea8f8610875be350fb" ma:index="24" nillable="true" ma:taxonomy="true" ma:internalName="eb70884a37994eea8f8610875be350fb" ma:taxonomyFieldName="Tags_x0020__x0022_Test_x0022_" ma:displayName="Tags &quot;Test&quot;" ma:default="" ma:fieldId="{eb70884a-3799-4eea-8f86-10875be350fb}" ma:sspId="f329529f-d5e8-4ec0-ad64-499550310e6b" ma:termSetId="af54e974-ead9-4138-8d12-3f1a23eae686" ma:anchorId="00000000-0000-0000-0000-000000000000" ma:open="false" ma:isKeyword="false">
      <xsd:complexType>
        <xsd:sequence>
          <xsd:element ref="pc:Terms" minOccurs="0" maxOccurs="1"/>
        </xsd:sequence>
      </xsd:complexType>
    </xsd:element>
    <xsd:element name="n36f8d5caa114d28bd6cd683d744a75d" ma:index="27" nillable="true" ma:taxonomy="true" ma:internalName="n36f8d5caa114d28bd6cd683d744a75d" ma:taxonomyFieldName="Tags" ma:displayName="Tags" ma:default="" ma:fieldId="{736f8d5c-aa11-4d28-bd6c-d683d744a75d}" ma:taxonomyMulti="true" ma:sspId="f329529f-d5e8-4ec0-ad64-499550310e6b" ma:termSetId="4276afc9-eb80-41c7-bba2-84fad128a792" ma:anchorId="00000000-0000-0000-0000-000000000000" ma:open="true" ma:isKeyword="false">
      <xsd:complexType>
        <xsd:sequence>
          <xsd:element ref="pc:Terms" minOccurs="0" maxOccurs="1"/>
        </xsd:sequence>
      </xsd:complexType>
    </xsd:element>
    <xsd:element name="h5c6f3f9467c440da5d4e58f9d6915e3" ma:index="29" nillable="true" ma:taxonomy="true" ma:internalName="h5c6f3f9467c440da5d4e58f9d6915e3" ma:taxonomyFieldName="Tag" ma:displayName="Tag" ma:default="" ma:fieldId="{15c6f3f9-467c-440d-a5d4-e58f9d6915e3}" ma:sspId="f329529f-d5e8-4ec0-ad64-499550310e6b" ma:termSetId="4276afc9-eb80-41c7-bba2-84fad128a792" ma:anchorId="00000000-0000-0000-0000-000000000000" ma:open="true" ma:isKeyword="false">
      <xsd:complexType>
        <xsd:sequence>
          <xsd:element ref="pc:Terms" minOccurs="0" maxOccurs="1"/>
        </xsd:sequence>
      </xsd:complexType>
    </xsd:element>
    <xsd:element name="na0ef3f2435a44f992efef542271c1ad" ma:index="31" nillable="true" ma:taxonomy="true" ma:internalName="na0ef3f2435a44f992efef542271c1ad" ma:taxonomyFieldName="Test" ma:displayName="Test" ma:default="" ma:fieldId="{7a0ef3f2-435a-44f9-92ef-ef542271c1ad}"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id1de02aebd34f1b9a02af7835d3332c" ma:index="33" nillable="true" ma:taxonomy="true" ma:internalName="id1de02aebd34f1b9a02af7835d3332c" ma:taxonomyFieldName="Testing" ma:displayName="Testing" ma:default="" ma:fieldId="{2d1de02a-ebd3-4f1b-9a02-af7835d3332c}"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pd7ad48bd346410abfeeb792744c4564" ma:index="35" nillable="true" ma:taxonomy="true" ma:internalName="pd7ad48bd346410abfeeb792744c4564" ma:taxonomyFieldName="Testing1" ma:displayName="Testing1" ma:default="" ma:fieldId="{9d7ad48b-d346-410a-bfee-b792744c4564}"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gdc95e895a66489fbddfd0aedeef4a4d" ma:index="37" nillable="true" ma:taxonomy="true" ma:internalName="gdc95e895a66489fbddfd0aedeef4a4d" ma:taxonomyFieldName="File_x0020_Tag" ma:displayName="Tag" ma:default="" ma:fieldId="{0dc95e89-5a66-489f-bddf-d0aedeef4a4d}"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f329529f-d5e8-4ec0-ad64-499550310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List UniqueId="cef6696b-cc44-400c-a143-c0247c66202d" Name="Computed" ContentType="XML" MajorVersion="0" MinorVersion="1" isLocalCopy="False" IsBaseObject="False" DataSourceId="ad8b6a6e-acd5-4b0f-937c-61d6e047e17f" DataSourceMajorVersion="0" DataSourceMinorVersion="1"/>
</file>

<file path=customXml/item3.xml><?xml version="1.0" encoding="utf-8"?>
<DocPartTree/>
</file>

<file path=customXml/item4.xml><?xml version="1.0" encoding="utf-8"?>
<DataSourceInfo>
  <Id>ad8b6a6e-acd5-4b0f-937c-61d6e047e17f</Id>
  <MajorVersion>0</MajorVersion>
  <MinorVersion>1</MinorVersion>
  <DataSourceType>Expression</DataSourceType>
  <Name>Computed</Name>
  <Description/>
  <Filter/>
  <DataFields/>
</DataSourceInfo>
</file>

<file path=customXml/item5.xml><?xml version="1.0" encoding="utf-8"?>
<VariableListDefinition name="Computed" displayName="Computed" id="cef6696b-cc44-400c-a143-c0247c66202d" isdomainofvalue="False" dataSourceId="ad8b6a6e-acd5-4b0f-937c-61d6e047e17f"/>
</file>

<file path=customXml/item6.xml><?xml version="1.0" encoding="utf-8"?>
<CoverPageProperties xmlns="http://schemas.microsoft.com/office/2006/coverPageProps">
  <PublishDate>Fund Manager: Patrick Vogel | Fund update: September 2022</PublishDate>
  <Abstract/>
  <CompanyAddress/>
  <CompanyPhone/>
  <CompanyFax/>
  <CompanyEmail/>
</CoverPageProperties>
</file>

<file path=customXml/item7.xml><?xml version="1.0" encoding="utf-8"?>
<VariableUsageMapping/>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ourceDataModel Name="AD_HOC" TargetDataSourceId="ee45275a-de19-416e-9d22-490157ad7a54"/>
</file>

<file path=customXml/itemProps1.xml><?xml version="1.0" encoding="utf-8"?>
<ds:datastoreItem xmlns:ds="http://schemas.openxmlformats.org/officeDocument/2006/customXml" ds:itemID="{EBA4E60E-C5D0-4A42-AA14-041C36011B2C}">
  <ds:schemaRefs/>
</ds:datastoreItem>
</file>

<file path=customXml/itemProps10.xml><?xml version="1.0" encoding="utf-8"?>
<ds:datastoreItem xmlns:ds="http://schemas.openxmlformats.org/officeDocument/2006/customXml" ds:itemID="{EDFB66BD-6B5B-4148-B88F-6E47AB3E2A52}">
  <ds:schemaRefs/>
</ds:datastoreItem>
</file>

<file path=customXml/itemProps11.xml><?xml version="1.0" encoding="utf-8"?>
<ds:datastoreItem xmlns:ds="http://schemas.openxmlformats.org/officeDocument/2006/customXml" ds:itemID="{8C367B8A-B37A-4BCB-BC9C-2FD188816234}">
  <ds:schemaRefs/>
</ds:datastoreItem>
</file>

<file path=customXml/itemProps12.xml><?xml version="1.0" encoding="utf-8"?>
<ds:datastoreItem xmlns:ds="http://schemas.openxmlformats.org/officeDocument/2006/customXml" ds:itemID="{150DAC81-0347-41D3-9EF5-415757EE687C}">
  <ds:schemaRefs/>
</ds:datastoreItem>
</file>

<file path=customXml/itemProps13.xml><?xml version="1.0" encoding="utf-8"?>
<ds:datastoreItem xmlns:ds="http://schemas.openxmlformats.org/officeDocument/2006/customXml" ds:itemID="{8ECFCB54-2FF4-4132-A5C0-73E77D511520}">
  <ds:schemaRefs/>
</ds:datastoreItem>
</file>

<file path=customXml/itemProps14.xml><?xml version="1.0" encoding="utf-8"?>
<ds:datastoreItem xmlns:ds="http://schemas.openxmlformats.org/officeDocument/2006/customXml" ds:itemID="{02E0CDAB-DCE7-4751-8414-45C0A73A7168}">
  <ds:schemaRefs/>
</ds:datastoreItem>
</file>

<file path=customXml/itemProps15.xml><?xml version="1.0" encoding="utf-8"?>
<ds:datastoreItem xmlns:ds="http://schemas.openxmlformats.org/officeDocument/2006/customXml" ds:itemID="{9BD77C0F-5F99-4C56-9349-1DED4DA3FBDA}">
  <ds:schemaRefs/>
</ds:datastoreItem>
</file>

<file path=customXml/itemProps16.xml><?xml version="1.0" encoding="utf-8"?>
<ds:datastoreItem xmlns:ds="http://schemas.openxmlformats.org/officeDocument/2006/customXml" ds:itemID="{042FBFF2-1E7C-4508-A14D-556666DB3BD1}">
  <ds:schemaRefs/>
</ds:datastoreItem>
</file>

<file path=customXml/itemProps17.xml><?xml version="1.0" encoding="utf-8"?>
<ds:datastoreItem xmlns:ds="http://schemas.openxmlformats.org/officeDocument/2006/customXml" ds:itemID="{F01704FF-7A59-40DA-8F51-9AE6011EA24B}">
  <ds:schemaRefs>
    <ds:schemaRef ds:uri="http://schemas.microsoft.com/office/2006/metadata/properties"/>
    <ds:schemaRef ds:uri="http://schemas.microsoft.com/office/infopath/2007/PartnerControls"/>
    <ds:schemaRef ds:uri="c8fafc93-787e-4f10-bd18-bb5398e89066"/>
    <ds:schemaRef ds:uri="http://schemas.microsoft.com/sharepoint/v3"/>
    <ds:schemaRef ds:uri="69ece4c0-e639-4d27-a408-778c245e4fea"/>
  </ds:schemaRefs>
</ds:datastoreItem>
</file>

<file path=customXml/itemProps18.xml><?xml version="1.0" encoding="utf-8"?>
<ds:datastoreItem xmlns:ds="http://schemas.openxmlformats.org/officeDocument/2006/customXml" ds:itemID="{6570A155-273F-4696-8DF0-60CA5A3B40E4}">
  <ds:schemaRefs/>
</ds:datastoreItem>
</file>

<file path=customXml/itemProps19.xml><?xml version="1.0" encoding="utf-8"?>
<ds:datastoreItem xmlns:ds="http://schemas.openxmlformats.org/officeDocument/2006/customXml" ds:itemID="{2E6718E7-1408-42D8-851F-5CFF3A7FBDD2}">
  <ds:schemaRefs/>
</ds:datastoreItem>
</file>

<file path=customXml/itemProps2.xml><?xml version="1.0" encoding="utf-8"?>
<ds:datastoreItem xmlns:ds="http://schemas.openxmlformats.org/officeDocument/2006/customXml" ds:itemID="{18D228CC-482B-4A29-BD67-03183A2239EB}">
  <ds:schemaRefs/>
</ds:datastoreItem>
</file>

<file path=customXml/itemProps20.xml><?xml version="1.0" encoding="utf-8"?>
<ds:datastoreItem xmlns:ds="http://schemas.openxmlformats.org/officeDocument/2006/customXml" ds:itemID="{FA81708C-DB8C-4E6C-A9E8-63084110D99C}">
  <ds:schemaRefs>
    <ds:schemaRef ds:uri="http://schemas.openxmlformats.org/officeDocument/2006/bibliography"/>
  </ds:schemaRefs>
</ds:datastoreItem>
</file>

<file path=customXml/itemProps21.xml><?xml version="1.0" encoding="utf-8"?>
<ds:datastoreItem xmlns:ds="http://schemas.openxmlformats.org/officeDocument/2006/customXml" ds:itemID="{771DF6E6-C94E-4B7C-84C1-DB2F79C417C1}">
  <ds:schemaRefs/>
</ds:datastoreItem>
</file>

<file path=customXml/itemProps22.xml><?xml version="1.0" encoding="utf-8"?>
<ds:datastoreItem xmlns:ds="http://schemas.openxmlformats.org/officeDocument/2006/customXml" ds:itemID="{0CFB1A0D-283B-4691-B3B9-277AD406217B}">
  <ds:schemaRefs/>
</ds:datastoreItem>
</file>

<file path=customXml/itemProps23.xml><?xml version="1.0" encoding="utf-8"?>
<ds:datastoreItem xmlns:ds="http://schemas.openxmlformats.org/officeDocument/2006/customXml" ds:itemID="{2D11195C-FCEF-4ABD-832D-BCE58AEEAF26}">
  <ds:schemaRefs/>
</ds:datastoreItem>
</file>

<file path=customXml/itemProps24.xml><?xml version="1.0" encoding="utf-8"?>
<ds:datastoreItem xmlns:ds="http://schemas.openxmlformats.org/officeDocument/2006/customXml" ds:itemID="{AC61B091-6854-46C3-A378-D949C160F847}">
  <ds:schemaRefs>
    <ds:schemaRef ds:uri="http://schemas.microsoft.com/office/2006/metadata/longProperties"/>
  </ds:schemaRefs>
</ds:datastoreItem>
</file>

<file path=customXml/itemProps25.xml><?xml version="1.0" encoding="utf-8"?>
<ds:datastoreItem xmlns:ds="http://schemas.openxmlformats.org/officeDocument/2006/customXml" ds:itemID="{D9F4C43E-5A6C-4532-83F6-D5E7F3B98D92}">
  <ds:schemaRefs/>
</ds:datastoreItem>
</file>

<file path=customXml/itemProps26.xml><?xml version="1.0" encoding="utf-8"?>
<ds:datastoreItem xmlns:ds="http://schemas.openxmlformats.org/officeDocument/2006/customXml" ds:itemID="{428C1F5D-DFDC-4BED-A09C-2D619C34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ce4c0-e639-4d27-a408-778c245e4fea"/>
    <ds:schemaRef ds:uri="c8fafc93-787e-4f10-bd18-bb5398e8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C012A1EA-2DEB-44E9-9AA2-CCDCD74F7B85}">
  <ds:schemaRefs/>
</ds:datastoreItem>
</file>

<file path=customXml/itemProps3.xml><?xml version="1.0" encoding="utf-8"?>
<ds:datastoreItem xmlns:ds="http://schemas.openxmlformats.org/officeDocument/2006/customXml" ds:itemID="{CEF1E46D-0062-4059-8329-DC8893B19587}">
  <ds:schemaRefs/>
</ds:datastoreItem>
</file>

<file path=customXml/itemProps4.xml><?xml version="1.0" encoding="utf-8"?>
<ds:datastoreItem xmlns:ds="http://schemas.openxmlformats.org/officeDocument/2006/customXml" ds:itemID="{ED122ABE-3000-4C61-A4D4-1CF3FB765444}">
  <ds:schemaRefs/>
</ds:datastoreItem>
</file>

<file path=customXml/itemProps5.xml><?xml version="1.0" encoding="utf-8"?>
<ds:datastoreItem xmlns:ds="http://schemas.openxmlformats.org/officeDocument/2006/customXml" ds:itemID="{466049E2-A633-4A07-8F73-94A74612CEB1}">
  <ds:schemaRefs/>
</ds:datastoreItem>
</file>

<file path=customXml/itemProps6.xml><?xml version="1.0" encoding="utf-8"?>
<ds:datastoreItem xmlns:ds="http://schemas.openxmlformats.org/officeDocument/2006/customXml" ds:itemID="{19015827-52B2-4903-9ECD-9019F01C3E7B}">
  <ds:schemaRefs>
    <ds:schemaRef ds:uri="http://schemas.microsoft.com/office/2006/coverPageProps"/>
  </ds:schemaRefs>
</ds:datastoreItem>
</file>

<file path=customXml/itemProps7.xml><?xml version="1.0" encoding="utf-8"?>
<ds:datastoreItem xmlns:ds="http://schemas.openxmlformats.org/officeDocument/2006/customXml" ds:itemID="{0E52DA5E-AAFA-4EF3-A76D-AB8824C64553}">
  <ds:schemaRefs/>
</ds:datastoreItem>
</file>

<file path=customXml/itemProps8.xml><?xml version="1.0" encoding="utf-8"?>
<ds:datastoreItem xmlns:ds="http://schemas.openxmlformats.org/officeDocument/2006/customXml" ds:itemID="{F115239F-F1C4-49E9-964B-C793131892BB}">
  <ds:schemaRefs>
    <ds:schemaRef ds:uri="http://schemas.microsoft.com/sharepoint/v3/contenttype/forms"/>
  </ds:schemaRefs>
</ds:datastoreItem>
</file>

<file path=customXml/itemProps9.xml><?xml version="1.0" encoding="utf-8"?>
<ds:datastoreItem xmlns:ds="http://schemas.openxmlformats.org/officeDocument/2006/customXml" ds:itemID="{9F6EEF50-FAA3-430F-AB9A-DCCA58324E69}">
  <ds:schemaRefs/>
</ds:datastoreItem>
</file>

<file path=docMetadata/LabelInfo.xml><?xml version="1.0" encoding="utf-8"?>
<clbl:labelList xmlns:clbl="http://schemas.microsoft.com/office/2020/mipLabelMetadata">
  <clbl:label id="{1d3680c3-127e-4a30-867f-435e340a45e3}" enabled="0" method="" siteId="{1d3680c3-127e-4a30-867f-435e340a45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14321</CharactersWithSpaces>
  <SharedDoc>false</SharedDoc>
  <HLinks>
    <vt:vector size="24" baseType="variant">
      <vt:variant>
        <vt:i4>1835024</vt:i4>
      </vt:variant>
      <vt:variant>
        <vt:i4>9</vt:i4>
      </vt:variant>
      <vt:variant>
        <vt:i4>0</vt:i4>
      </vt:variant>
      <vt:variant>
        <vt:i4>5</vt:i4>
      </vt:variant>
      <vt:variant>
        <vt:lpwstr>https://www.schroders.com/en/lu/professional-investor/footer/complaints-handling/</vt:lpwstr>
      </vt:variant>
      <vt:variant>
        <vt:lpwstr/>
      </vt:variant>
      <vt:variant>
        <vt:i4>3670057</vt:i4>
      </vt:variant>
      <vt:variant>
        <vt:i4>6</vt:i4>
      </vt:variant>
      <vt:variant>
        <vt:i4>0</vt:i4>
      </vt:variant>
      <vt:variant>
        <vt:i4>5</vt:i4>
      </vt:variant>
      <vt:variant>
        <vt:lpwstr>http://www.schroders.com/en/privacy-policy/</vt:lpwstr>
      </vt:variant>
      <vt:variant>
        <vt:lpwstr/>
      </vt:variant>
      <vt:variant>
        <vt:i4>4653078</vt:i4>
      </vt:variant>
      <vt:variant>
        <vt:i4>3</vt:i4>
      </vt:variant>
      <vt:variant>
        <vt:i4>0</vt:i4>
      </vt:variant>
      <vt:variant>
        <vt:i4>5</vt:i4>
      </vt:variant>
      <vt:variant>
        <vt:lpwstr>http://www.schroders.com/</vt:lpwstr>
      </vt:variant>
      <vt:variant>
        <vt:lpwstr/>
      </vt:variant>
      <vt:variant>
        <vt:i4>1114126</vt:i4>
      </vt:variant>
      <vt:variant>
        <vt:i4>0</vt:i4>
      </vt:variant>
      <vt:variant>
        <vt:i4>0</vt:i4>
      </vt:variant>
      <vt:variant>
        <vt:i4>5</vt:i4>
      </vt:variant>
      <vt:variant>
        <vt:lpwstr>http://www.eifs.lu/schroders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Marco</dc:creator>
  <cp:keywords/>
  <cp:lastModifiedBy>Sibelius, Janina</cp:lastModifiedBy>
  <cp:revision>2</cp:revision>
  <cp:lastPrinted>2017-07-03T14:55:00Z</cp:lastPrinted>
  <dcterms:created xsi:type="dcterms:W3CDTF">2024-04-12T11:58:00Z</dcterms:created>
  <dcterms:modified xsi:type="dcterms:W3CDTF">2024-04-12T11:58:00Z</dcterms:modified>
  <cp:category>Schroder ISF* EURO Credit Conviction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0x010100AEFF028DBF6A5A4AACCE86F7DC7A62B5</vt:lpwstr>
  </property>
  <property fmtid="{D5CDD505-2E9C-101B-9397-08002B2CF9AE}" pid="3" name="Tags &quot;Test&quot;">
    <vt:lpwstr/>
  </property>
  <property fmtid="{D5CDD505-2E9C-101B-9397-08002B2CF9AE}" pid="4" name="Tag">
    <vt:lpwstr/>
  </property>
  <property fmtid="{D5CDD505-2E9C-101B-9397-08002B2CF9AE}" pid="5" name="Test">
    <vt:lpwstr/>
  </property>
  <property fmtid="{D5CDD505-2E9C-101B-9397-08002B2CF9AE}" pid="6" name="MediaServiceImageTags">
    <vt:lpwstr/>
  </property>
  <property fmtid="{D5CDD505-2E9C-101B-9397-08002B2CF9AE}" pid="7" name="Testing1">
    <vt:lpwstr/>
  </property>
  <property fmtid="{D5CDD505-2E9C-101B-9397-08002B2CF9AE}" pid="8" name="Tags">
    <vt:lpwstr/>
  </property>
  <property fmtid="{D5CDD505-2E9C-101B-9397-08002B2CF9AE}" pid="9" name="File Tag">
    <vt:lpwstr/>
  </property>
  <property fmtid="{D5CDD505-2E9C-101B-9397-08002B2CF9AE}" pid="10" name="Testing">
    <vt:lpwstr/>
  </property>
</Properties>
</file>